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DF017" w14:textId="00E52BB8" w:rsidR="001D6307" w:rsidRPr="001D6307" w:rsidRDefault="001D6307" w:rsidP="00E03AC0">
      <w:pPr>
        <w:spacing w:line="276" w:lineRule="auto"/>
        <w:jc w:val="center"/>
        <w:rPr>
          <w:u w:val="single"/>
        </w:rPr>
      </w:pPr>
      <w:r w:rsidRPr="001D6307">
        <w:rPr>
          <w:u w:val="single"/>
        </w:rPr>
        <w:t>Plan de Evaluación</w:t>
      </w:r>
      <w:r w:rsidR="00C1290D">
        <w:rPr>
          <w:u w:val="single"/>
        </w:rPr>
        <w:t xml:space="preserve"> </w:t>
      </w:r>
      <w:r w:rsidR="00150F5D">
        <w:rPr>
          <w:u w:val="single"/>
        </w:rPr>
        <w:t xml:space="preserve">anual </w:t>
      </w:r>
      <w:r w:rsidR="00C14AFB">
        <w:rPr>
          <w:u w:val="single"/>
        </w:rPr>
        <w:t xml:space="preserve">del </w:t>
      </w:r>
      <w:r w:rsidR="0066064F">
        <w:rPr>
          <w:u w:val="single"/>
        </w:rPr>
        <w:t>Consejo de Transparencia y Buen Gobierno</w:t>
      </w:r>
    </w:p>
    <w:p w14:paraId="58808F86" w14:textId="77777777" w:rsidR="001D6307" w:rsidRDefault="001D6307" w:rsidP="001D6307">
      <w:pPr>
        <w:spacing w:line="276" w:lineRule="auto"/>
        <w:jc w:val="both"/>
      </w:pPr>
    </w:p>
    <w:p w14:paraId="74ABB1EB" w14:textId="4E1E7116" w:rsidR="001D6307" w:rsidRPr="00F027E8" w:rsidRDefault="00F027E8" w:rsidP="009451B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EL CTBG ANALIZARÁ EN 2022 EL CUMPLIMIENTO DE LA LEY DE TRANSPARENCIA DE 189 ENTIDADES PÚBLICAS Y PRIVADAS ESPAÑOLAS</w:t>
      </w:r>
    </w:p>
    <w:p w14:paraId="734BE05E" w14:textId="77777777" w:rsidR="005C2B71" w:rsidRDefault="005C2B71" w:rsidP="009451B0">
      <w:pPr>
        <w:jc w:val="both"/>
      </w:pPr>
    </w:p>
    <w:p w14:paraId="56A6EAB5" w14:textId="14E292DF" w:rsidR="00005A35" w:rsidRPr="00005A35" w:rsidRDefault="00891FBA" w:rsidP="00005A35">
      <w:pPr>
        <w:pStyle w:val="Prrafodelista"/>
        <w:numPr>
          <w:ilvl w:val="0"/>
          <w:numId w:val="3"/>
        </w:numPr>
        <w:spacing w:line="276" w:lineRule="auto"/>
        <w:jc w:val="both"/>
      </w:pPr>
      <w:r>
        <w:t>Entre los sujetos objeto de análisis se encuentran</w:t>
      </w:r>
      <w:r w:rsidR="000C5E5C">
        <w:t xml:space="preserve"> </w:t>
      </w:r>
      <w:r w:rsidR="00005A35">
        <w:t>los ó</w:t>
      </w:r>
      <w:r w:rsidR="00005A35" w:rsidRPr="00005A35">
        <w:t>rganos constitucionales y de relevancia institucional del Estado</w:t>
      </w:r>
      <w:r w:rsidR="00005A35">
        <w:t>, las autoridades a</w:t>
      </w:r>
      <w:r w:rsidR="00005A35" w:rsidRPr="00005A35">
        <w:t>dministrativas independientes (AAI) y organismos con funciones de regulación y supervisión de ámbito estatal</w:t>
      </w:r>
      <w:r w:rsidR="00005A35">
        <w:t>, la Administración General del Estado, organismos y entidades del sector público institucional, corporaciones de Derecho Público y entidades del sector privado perceptoras de subvenciones y ayudas públicas.</w:t>
      </w:r>
    </w:p>
    <w:p w14:paraId="64C28A0C" w14:textId="23DEAAE0" w:rsidR="00005A35" w:rsidRDefault="00005A35" w:rsidP="00005A35">
      <w:pPr>
        <w:pStyle w:val="Prrafodelista"/>
        <w:spacing w:line="276" w:lineRule="auto"/>
        <w:ind w:left="360"/>
        <w:jc w:val="both"/>
      </w:pPr>
      <w:r>
        <w:t xml:space="preserve"> </w:t>
      </w:r>
      <w:bookmarkStart w:id="0" w:name="_GoBack"/>
      <w:bookmarkEnd w:id="0"/>
    </w:p>
    <w:p w14:paraId="715969F9" w14:textId="5F58C152" w:rsidR="002409A8" w:rsidRPr="00580AB0" w:rsidRDefault="001D6307" w:rsidP="008D0397">
      <w:pPr>
        <w:pStyle w:val="Prrafodelista"/>
        <w:numPr>
          <w:ilvl w:val="0"/>
          <w:numId w:val="3"/>
        </w:numPr>
        <w:spacing w:line="276" w:lineRule="auto"/>
        <w:jc w:val="both"/>
      </w:pPr>
      <w:r w:rsidRPr="00580AB0">
        <w:t xml:space="preserve">El </w:t>
      </w:r>
      <w:r w:rsidR="00876D65" w:rsidRPr="00580AB0">
        <w:t xml:space="preserve">objetivo del </w:t>
      </w:r>
      <w:r w:rsidRPr="00580AB0">
        <w:t xml:space="preserve">Consejo </w:t>
      </w:r>
      <w:r w:rsidR="00876D65" w:rsidRPr="00580AB0">
        <w:t xml:space="preserve">es evaluar </w:t>
      </w:r>
      <w:r w:rsidR="00517C01" w:rsidRPr="00580AB0">
        <w:t xml:space="preserve">el </w:t>
      </w:r>
      <w:r w:rsidR="00876D65" w:rsidRPr="00580AB0">
        <w:t xml:space="preserve">grado de </w:t>
      </w:r>
      <w:r w:rsidR="00517C01" w:rsidRPr="00580AB0">
        <w:t xml:space="preserve">cumplimiento de las obligaciones </w:t>
      </w:r>
      <w:r w:rsidR="00450BA2" w:rsidRPr="00580AB0">
        <w:t>de</w:t>
      </w:r>
      <w:r w:rsidR="00517C01" w:rsidRPr="00580AB0">
        <w:t xml:space="preserve"> la Ley de Transparencia, Acceso a la Información y Buen Gobierno (LTAIBG)</w:t>
      </w:r>
      <w:r w:rsidR="00876D65" w:rsidRPr="00580AB0">
        <w:t xml:space="preserve">, </w:t>
      </w:r>
      <w:r w:rsidR="002409A8" w:rsidRPr="00580AB0">
        <w:t xml:space="preserve">tanto en materia de publicidad activa como en el ejercicio del derecho de acceso a la información de los ciudadanos. El GTBG realizará, asimismo, las propuestas de mejora que </w:t>
      </w:r>
      <w:r w:rsidR="00310EBE">
        <w:t xml:space="preserve">en cada caso </w:t>
      </w:r>
      <w:r w:rsidR="002409A8" w:rsidRPr="00580AB0">
        <w:t>considere oportunas.</w:t>
      </w:r>
    </w:p>
    <w:p w14:paraId="0F4C0673" w14:textId="77777777" w:rsidR="00ED48ED" w:rsidRDefault="00ED48ED" w:rsidP="00ED48ED"/>
    <w:p w14:paraId="53977D30" w14:textId="63189CD6" w:rsidR="00ED48ED" w:rsidRPr="00580AB0" w:rsidRDefault="00ED48ED" w:rsidP="00ED48ED">
      <w:pPr>
        <w:pStyle w:val="Prrafodelista"/>
        <w:numPr>
          <w:ilvl w:val="0"/>
          <w:numId w:val="3"/>
        </w:numPr>
        <w:spacing w:line="276" w:lineRule="auto"/>
        <w:jc w:val="both"/>
      </w:pPr>
      <w:r w:rsidRPr="00580AB0">
        <w:t>Con el objetivo de que los resultados de las evaluaciones realizadas estén públicamente disponibles de forma inmediata a su conclusión, el Consejo irá publicando los informes en su página del web a medida que se vayan elaborando, con independencia de que sean recogidos globalmente al cierre del ejercicio, a través de la memoria anual del CTBG.</w:t>
      </w:r>
    </w:p>
    <w:p w14:paraId="3A5B173E" w14:textId="77777777" w:rsidR="00ED48ED" w:rsidRDefault="00ED48ED" w:rsidP="00ED48ED">
      <w:pPr>
        <w:spacing w:line="276" w:lineRule="auto"/>
        <w:jc w:val="both"/>
      </w:pPr>
    </w:p>
    <w:p w14:paraId="5DB7A36D" w14:textId="59326C09" w:rsidR="00593616" w:rsidRDefault="005C0DFC" w:rsidP="00B001E5">
      <w:pPr>
        <w:spacing w:line="276" w:lineRule="auto"/>
        <w:jc w:val="both"/>
      </w:pPr>
      <w:r w:rsidRPr="005C0DFC">
        <w:rPr>
          <w:u w:val="single"/>
        </w:rPr>
        <w:t>Madrid</w:t>
      </w:r>
      <w:proofErr w:type="gramStart"/>
      <w:r w:rsidRPr="005C0DFC">
        <w:rPr>
          <w:u w:val="single"/>
        </w:rPr>
        <w:t>,</w:t>
      </w:r>
      <w:r w:rsidR="002409A8">
        <w:rPr>
          <w:u w:val="single"/>
        </w:rPr>
        <w:t>1</w:t>
      </w:r>
      <w:proofErr w:type="gramEnd"/>
      <w:r w:rsidR="002409A8">
        <w:rPr>
          <w:u w:val="single"/>
        </w:rPr>
        <w:t xml:space="preserve"> </w:t>
      </w:r>
      <w:r w:rsidRPr="005C0DFC">
        <w:rPr>
          <w:u w:val="single"/>
        </w:rPr>
        <w:t>de febrero de 2022</w:t>
      </w:r>
      <w:r>
        <w:t xml:space="preserve">.- El Consejo de Transparencia y Buen Gobierno </w:t>
      </w:r>
      <w:r w:rsidR="00891FBA">
        <w:t xml:space="preserve">(CTBG) </w:t>
      </w:r>
      <w:r>
        <w:t xml:space="preserve">ha publicado su </w:t>
      </w:r>
      <w:hyperlink r:id="rId8" w:history="1">
        <w:r w:rsidRPr="000F4A87">
          <w:rPr>
            <w:rStyle w:val="Hipervnculo"/>
          </w:rPr>
          <w:t>Plan de Evaluación</w:t>
        </w:r>
      </w:hyperlink>
      <w:r w:rsidRPr="00005A35">
        <w:rPr>
          <w:color w:val="4472C4" w:themeColor="accent1"/>
        </w:rPr>
        <w:t xml:space="preserve"> </w:t>
      </w:r>
      <w:r>
        <w:t xml:space="preserve">anual correspondiente </w:t>
      </w:r>
      <w:r w:rsidR="002409A8">
        <w:t>a</w:t>
      </w:r>
      <w:r>
        <w:t xml:space="preserve"> 2022</w:t>
      </w:r>
      <w:r w:rsidR="002409A8">
        <w:t>.</w:t>
      </w:r>
      <w:r w:rsidR="00891FBA">
        <w:t xml:space="preserve"> </w:t>
      </w:r>
      <w:r>
        <w:t xml:space="preserve">A lo largo del presente ejercicio, el CTBG tiene previsto </w:t>
      </w:r>
      <w:r w:rsidRPr="005C0DFC">
        <w:rPr>
          <w:b/>
        </w:rPr>
        <w:t>analizar el cumplimiento de las obligaciones</w:t>
      </w:r>
      <w:r>
        <w:t xml:space="preserve"> que la Ley de Transparencia, Acceso a la Información y Buen Gobierno (</w:t>
      </w:r>
      <w:r w:rsidRPr="005C0DFC">
        <w:rPr>
          <w:b/>
        </w:rPr>
        <w:t>LTAIBG</w:t>
      </w:r>
      <w:r>
        <w:t xml:space="preserve">) impone a instituciones, organismos y entidades públicas. En concreto, en la programación para este ejercicio, el Consejo ha incluido </w:t>
      </w:r>
      <w:r w:rsidR="00B001E5">
        <w:t xml:space="preserve">la evaluación de </w:t>
      </w:r>
      <w:r>
        <w:t xml:space="preserve">un total de </w:t>
      </w:r>
      <w:r w:rsidRPr="005C0DFC">
        <w:rPr>
          <w:b/>
        </w:rPr>
        <w:t>189 entidades</w:t>
      </w:r>
      <w:r w:rsidR="00B001E5">
        <w:t xml:space="preserve">. </w:t>
      </w:r>
    </w:p>
    <w:p w14:paraId="63EC88E1" w14:textId="77777777" w:rsidR="004A59B0" w:rsidRDefault="004A59B0" w:rsidP="00B001E5">
      <w:pPr>
        <w:spacing w:line="276" w:lineRule="auto"/>
        <w:jc w:val="both"/>
      </w:pPr>
    </w:p>
    <w:p w14:paraId="586D270D" w14:textId="5EB47B5F" w:rsidR="00AA069B" w:rsidRDefault="00971A98" w:rsidP="00B001E5">
      <w:pPr>
        <w:spacing w:line="276" w:lineRule="auto"/>
        <w:jc w:val="both"/>
      </w:pPr>
      <w:r>
        <w:t xml:space="preserve">Dada la </w:t>
      </w:r>
      <w:r w:rsidRPr="00971A98">
        <w:rPr>
          <w:b/>
        </w:rPr>
        <w:t>diversidad de obligaciones</w:t>
      </w:r>
      <w:r>
        <w:t xml:space="preserve"> de publicidad activa y de gestión </w:t>
      </w:r>
      <w:r w:rsidR="00B001E5">
        <w:t xml:space="preserve">del derecho de acceso a la información que la LTAIBG impone a las instituciones, el Consejo </w:t>
      </w:r>
      <w:r>
        <w:t xml:space="preserve">ha </w:t>
      </w:r>
      <w:r w:rsidR="00B001E5">
        <w:t>agrupa</w:t>
      </w:r>
      <w:r>
        <w:t>do</w:t>
      </w:r>
      <w:r w:rsidR="00B001E5">
        <w:t xml:space="preserve"> en </w:t>
      </w:r>
      <w:r w:rsidR="007C1989">
        <w:rPr>
          <w:b/>
        </w:rPr>
        <w:t>cinco</w:t>
      </w:r>
      <w:r w:rsidR="00B001E5" w:rsidRPr="00971A98">
        <w:rPr>
          <w:b/>
        </w:rPr>
        <w:t xml:space="preserve"> </w:t>
      </w:r>
      <w:r w:rsidR="00005A35">
        <w:rPr>
          <w:b/>
        </w:rPr>
        <w:t>grupos</w:t>
      </w:r>
      <w:r w:rsidR="00B001E5">
        <w:t xml:space="preserve"> la selección de entidades que serán objeto de evaluación</w:t>
      </w:r>
      <w:r>
        <w:t xml:space="preserve"> durante este ejercicio:</w:t>
      </w:r>
    </w:p>
    <w:p w14:paraId="664FF0C4" w14:textId="77777777" w:rsidR="00005A35" w:rsidRDefault="00005A35" w:rsidP="00B001E5">
      <w:pPr>
        <w:spacing w:line="276" w:lineRule="auto"/>
        <w:jc w:val="both"/>
      </w:pPr>
    </w:p>
    <w:p w14:paraId="4AEE9763" w14:textId="18967AA3" w:rsidR="00005A35" w:rsidRDefault="00971A98" w:rsidP="00005A35">
      <w:pPr>
        <w:pStyle w:val="Prrafodelista"/>
        <w:numPr>
          <w:ilvl w:val="0"/>
          <w:numId w:val="2"/>
        </w:numPr>
        <w:spacing w:line="276" w:lineRule="auto"/>
        <w:jc w:val="both"/>
      </w:pPr>
      <w:r>
        <w:t>“</w:t>
      </w:r>
      <w:r w:rsidRPr="000B5DCD">
        <w:rPr>
          <w:b/>
        </w:rPr>
        <w:t>Órganos constitucionales y de relevancia institucional</w:t>
      </w:r>
      <w:r>
        <w:t xml:space="preserve"> del Estado</w:t>
      </w:r>
      <w:r w:rsidR="00F20D73">
        <w:t xml:space="preserve">; </w:t>
      </w:r>
      <w:r w:rsidRPr="000B5DCD">
        <w:rPr>
          <w:b/>
        </w:rPr>
        <w:t>Banco de España</w:t>
      </w:r>
      <w:r>
        <w:t xml:space="preserve"> y </w:t>
      </w:r>
      <w:r w:rsidRPr="000B5DCD">
        <w:rPr>
          <w:b/>
        </w:rPr>
        <w:t>Autoridades Administrativas independientes</w:t>
      </w:r>
      <w:r w:rsidR="00A57DD0">
        <w:rPr>
          <w:b/>
        </w:rPr>
        <w:t xml:space="preserve"> (AAI)</w:t>
      </w:r>
      <w:r>
        <w:t xml:space="preserve"> y </w:t>
      </w:r>
      <w:r w:rsidRPr="000B5DCD">
        <w:rPr>
          <w:b/>
        </w:rPr>
        <w:t>organismos</w:t>
      </w:r>
      <w:r>
        <w:t xml:space="preserve"> con funciones de </w:t>
      </w:r>
      <w:r w:rsidRPr="000B5DCD">
        <w:rPr>
          <w:b/>
        </w:rPr>
        <w:t>regulación y supervisión</w:t>
      </w:r>
      <w:r>
        <w:t xml:space="preserve"> de ámbito estatal</w:t>
      </w:r>
      <w:r w:rsidR="00F20D73">
        <w:t xml:space="preserve">”. </w:t>
      </w:r>
      <w:r w:rsidR="00005A35">
        <w:t>Dentro de este grupo</w:t>
      </w:r>
      <w:r w:rsidR="00F20D73">
        <w:t xml:space="preserve">, el CTBG evaluará un total de </w:t>
      </w:r>
      <w:r w:rsidR="00F20D73" w:rsidRPr="00763D0E">
        <w:rPr>
          <w:b/>
        </w:rPr>
        <w:t>1</w:t>
      </w:r>
      <w:r w:rsidR="00A57DD0">
        <w:rPr>
          <w:b/>
        </w:rPr>
        <w:t>0</w:t>
      </w:r>
      <w:r w:rsidR="00F20D73" w:rsidRPr="00763D0E">
        <w:rPr>
          <w:b/>
        </w:rPr>
        <w:t xml:space="preserve"> </w:t>
      </w:r>
      <w:r w:rsidR="000B5DCD" w:rsidRPr="00763D0E">
        <w:rPr>
          <w:b/>
        </w:rPr>
        <w:t>instituciones</w:t>
      </w:r>
      <w:r w:rsidR="00A57DD0">
        <w:rPr>
          <w:b/>
        </w:rPr>
        <w:t xml:space="preserve"> y 7 organismos reguladores</w:t>
      </w:r>
      <w:r w:rsidR="00A57DD0">
        <w:t xml:space="preserve">. </w:t>
      </w:r>
    </w:p>
    <w:p w14:paraId="7CB564D5" w14:textId="1803438D" w:rsidR="000B5DCD" w:rsidRPr="002409A8" w:rsidRDefault="00E42688" w:rsidP="00971A98">
      <w:pPr>
        <w:pStyle w:val="Prrafodelista"/>
        <w:numPr>
          <w:ilvl w:val="0"/>
          <w:numId w:val="2"/>
        </w:numPr>
        <w:spacing w:line="276" w:lineRule="auto"/>
        <w:jc w:val="both"/>
      </w:pPr>
      <w:r>
        <w:t xml:space="preserve"> </w:t>
      </w:r>
      <w:r w:rsidR="000B5DCD" w:rsidRPr="002409A8">
        <w:t>“</w:t>
      </w:r>
      <w:r w:rsidR="000B5DCD" w:rsidRPr="002409A8">
        <w:rPr>
          <w:b/>
        </w:rPr>
        <w:t>Administración General del Estado”</w:t>
      </w:r>
      <w:r w:rsidR="007226B9">
        <w:rPr>
          <w:b/>
        </w:rPr>
        <w:t>.</w:t>
      </w:r>
    </w:p>
    <w:p w14:paraId="55EA395C" w14:textId="497D7819" w:rsidR="000B5DCD" w:rsidRPr="00763D0E" w:rsidRDefault="000B5DCD" w:rsidP="00971A98">
      <w:pPr>
        <w:pStyle w:val="Prrafodelista"/>
        <w:numPr>
          <w:ilvl w:val="0"/>
          <w:numId w:val="2"/>
        </w:numPr>
        <w:spacing w:line="276" w:lineRule="auto"/>
        <w:jc w:val="both"/>
      </w:pPr>
      <w:r>
        <w:lastRenderedPageBreak/>
        <w:t>“</w:t>
      </w:r>
      <w:r w:rsidR="007C1989" w:rsidRPr="007C1989">
        <w:rPr>
          <w:b/>
        </w:rPr>
        <w:t>Organismos y entidades del</w:t>
      </w:r>
      <w:r w:rsidR="007C1989">
        <w:t xml:space="preserve"> </w:t>
      </w:r>
      <w:r w:rsidR="007C1989">
        <w:rPr>
          <w:b/>
        </w:rPr>
        <w:t>s</w:t>
      </w:r>
      <w:r w:rsidRPr="00763D0E">
        <w:rPr>
          <w:b/>
        </w:rPr>
        <w:t>ector público institucional</w:t>
      </w:r>
      <w:r>
        <w:t>”</w:t>
      </w:r>
      <w:r w:rsidR="007226B9">
        <w:rPr>
          <w:b/>
        </w:rPr>
        <w:t xml:space="preserve">, </w:t>
      </w:r>
      <w:r w:rsidR="007226B9" w:rsidRPr="007226B9">
        <w:t>dentro de este grupo serán evaluadas</w:t>
      </w:r>
      <w:r w:rsidR="007226B9">
        <w:rPr>
          <w:b/>
        </w:rPr>
        <w:t xml:space="preserve"> </w:t>
      </w:r>
      <w:r w:rsidR="00763D0E" w:rsidRPr="00763D0E">
        <w:rPr>
          <w:b/>
        </w:rPr>
        <w:t>75 entidades</w:t>
      </w:r>
      <w:r w:rsidR="00763D0E" w:rsidRPr="00763D0E">
        <w:t xml:space="preserve">. </w:t>
      </w:r>
    </w:p>
    <w:p w14:paraId="15A7738A" w14:textId="6AB212E5" w:rsidR="000B5DCD" w:rsidRDefault="00763D0E" w:rsidP="00971A98">
      <w:pPr>
        <w:pStyle w:val="Prrafodelista"/>
        <w:numPr>
          <w:ilvl w:val="0"/>
          <w:numId w:val="2"/>
        </w:numPr>
        <w:spacing w:line="276" w:lineRule="auto"/>
        <w:jc w:val="both"/>
      </w:pPr>
      <w:r>
        <w:t>“</w:t>
      </w:r>
      <w:r w:rsidRPr="00763D0E">
        <w:rPr>
          <w:b/>
        </w:rPr>
        <w:t>Corporaciones de Derecho Público</w:t>
      </w:r>
      <w:r>
        <w:t xml:space="preserve">”. Este grupo recoge el análisis de </w:t>
      </w:r>
      <w:r w:rsidRPr="00517C01">
        <w:rPr>
          <w:b/>
        </w:rPr>
        <w:t xml:space="preserve">20 </w:t>
      </w:r>
      <w:r w:rsidR="00517C01" w:rsidRPr="00517C01">
        <w:rPr>
          <w:b/>
        </w:rPr>
        <w:t xml:space="preserve">colegios </w:t>
      </w:r>
      <w:r w:rsidR="00517C01" w:rsidRPr="00517C01">
        <w:t>profesionales de ámbito estatal</w:t>
      </w:r>
      <w:r w:rsidR="00517C01">
        <w:t xml:space="preserve">. </w:t>
      </w:r>
    </w:p>
    <w:p w14:paraId="540824F0" w14:textId="7454EBF2" w:rsidR="000B5DCD" w:rsidRDefault="007226B9" w:rsidP="00F100F0">
      <w:pPr>
        <w:pStyle w:val="Prrafodelista"/>
        <w:numPr>
          <w:ilvl w:val="0"/>
          <w:numId w:val="2"/>
        </w:numPr>
        <w:spacing w:line="276" w:lineRule="auto"/>
        <w:jc w:val="both"/>
      </w:pPr>
      <w:r>
        <w:t xml:space="preserve"> </w:t>
      </w:r>
      <w:r w:rsidR="00763D0E">
        <w:t>“</w:t>
      </w:r>
      <w:r w:rsidR="00763D0E" w:rsidRPr="00763D0E">
        <w:rPr>
          <w:b/>
        </w:rPr>
        <w:t>Sujetos privados</w:t>
      </w:r>
      <w:r w:rsidR="00763D0E">
        <w:t>”.</w:t>
      </w:r>
      <w:r w:rsidR="00517C01">
        <w:t xml:space="preserve"> </w:t>
      </w:r>
      <w:r>
        <w:t xml:space="preserve">Este grupo engloba el análisis de </w:t>
      </w:r>
      <w:r w:rsidR="00517C01" w:rsidRPr="00517C01">
        <w:rPr>
          <w:b/>
        </w:rPr>
        <w:t>76 entidades</w:t>
      </w:r>
      <w:r w:rsidR="00517C01">
        <w:t xml:space="preserve"> perceptoras de </w:t>
      </w:r>
      <w:r w:rsidR="00517C01" w:rsidRPr="00EB022A">
        <w:rPr>
          <w:b/>
        </w:rPr>
        <w:t>subvenciones</w:t>
      </w:r>
      <w:r w:rsidR="00517C01">
        <w:t xml:space="preserve"> y </w:t>
      </w:r>
      <w:r w:rsidR="00517C01" w:rsidRPr="00EB022A">
        <w:rPr>
          <w:b/>
        </w:rPr>
        <w:t>ayudas públicas</w:t>
      </w:r>
      <w:r w:rsidR="00517C01">
        <w:t>.</w:t>
      </w:r>
    </w:p>
    <w:p w14:paraId="577DE0AE" w14:textId="77777777" w:rsidR="000B5DCD" w:rsidRDefault="000B5DCD" w:rsidP="00F100F0">
      <w:pPr>
        <w:spacing w:line="276" w:lineRule="auto"/>
        <w:jc w:val="both"/>
      </w:pPr>
    </w:p>
    <w:p w14:paraId="132156B8" w14:textId="768C871C" w:rsidR="00971A98" w:rsidRDefault="00971A98" w:rsidP="00F100F0">
      <w:pPr>
        <w:spacing w:line="276" w:lineRule="auto"/>
        <w:jc w:val="both"/>
      </w:pPr>
      <w:r>
        <w:t>En la totalidad de las entidades objeto de evaluación</w:t>
      </w:r>
      <w:r w:rsidR="00517C01">
        <w:t xml:space="preserve"> durante 2022</w:t>
      </w:r>
      <w:r>
        <w:t xml:space="preserve">, el CTBG analizará el </w:t>
      </w:r>
      <w:r w:rsidRPr="007226B9">
        <w:t xml:space="preserve">cumplimiento </w:t>
      </w:r>
      <w:r>
        <w:t xml:space="preserve">de las </w:t>
      </w:r>
      <w:r w:rsidRPr="00971A98">
        <w:rPr>
          <w:b/>
        </w:rPr>
        <w:t>obligaciones de publicidad actividad</w:t>
      </w:r>
      <w:r>
        <w:t xml:space="preserve">, y en el caso de 25 de las 189 evaluadas (en concreto, las correspondientes al sector público estatal), también </w:t>
      </w:r>
      <w:r w:rsidR="007226B9">
        <w:t xml:space="preserve">lo hará sobre </w:t>
      </w:r>
      <w:r>
        <w:t xml:space="preserve">el </w:t>
      </w:r>
      <w:r w:rsidRPr="00971A98">
        <w:rPr>
          <w:b/>
        </w:rPr>
        <w:t>derecho de acceso a la información de la ciudadanía</w:t>
      </w:r>
      <w:r>
        <w:t>.</w:t>
      </w:r>
    </w:p>
    <w:p w14:paraId="01088CB7" w14:textId="77777777" w:rsidR="00971A98" w:rsidRDefault="00971A98" w:rsidP="00F100F0">
      <w:pPr>
        <w:spacing w:line="276" w:lineRule="auto"/>
        <w:jc w:val="both"/>
      </w:pPr>
    </w:p>
    <w:p w14:paraId="400B00FA" w14:textId="7EED67AA" w:rsidR="00F20D73" w:rsidRDefault="001859D5" w:rsidP="00F100F0">
      <w:pPr>
        <w:spacing w:line="276" w:lineRule="auto"/>
        <w:jc w:val="both"/>
      </w:pPr>
      <w:r>
        <w:t xml:space="preserve">Respecto </w:t>
      </w:r>
      <w:r w:rsidR="00F20D73">
        <w:t xml:space="preserve">a la </w:t>
      </w:r>
      <w:r w:rsidR="00F20D73" w:rsidRPr="00F20D73">
        <w:rPr>
          <w:b/>
        </w:rPr>
        <w:t>publicidad activa</w:t>
      </w:r>
      <w:r>
        <w:t>, el Consejo evaluará</w:t>
      </w:r>
      <w:r w:rsidR="00F20D73">
        <w:t xml:space="preserve"> </w:t>
      </w:r>
      <w:r>
        <w:t xml:space="preserve">la aplicación de la Ley en cuanto a la información </w:t>
      </w:r>
      <w:r w:rsidR="00F20D73">
        <w:t xml:space="preserve">institucional, organizativa y económica, así como el Índice de Cumplimiento de la Información Obligatoria (ICIO). En cuanto al </w:t>
      </w:r>
      <w:r w:rsidR="00F20D73" w:rsidRPr="00F20D73">
        <w:rPr>
          <w:b/>
        </w:rPr>
        <w:t>derecho de acceso a la información</w:t>
      </w:r>
      <w:r w:rsidR="00F20D73">
        <w:t xml:space="preserve">, la evaluación se realizará en relación con la </w:t>
      </w:r>
      <w:r w:rsidR="00F20D73" w:rsidRPr="00F20D73">
        <w:rPr>
          <w:b/>
        </w:rPr>
        <w:t>gestión</w:t>
      </w:r>
      <w:r w:rsidR="00F20D73">
        <w:t xml:space="preserve"> que las entidades objeto de análisis realicen de las </w:t>
      </w:r>
      <w:r w:rsidR="00F20D73" w:rsidRPr="00F20D73">
        <w:rPr>
          <w:b/>
        </w:rPr>
        <w:t>solicitudes</w:t>
      </w:r>
      <w:r w:rsidR="00F20D73">
        <w:t xml:space="preserve"> de acceso a información pública por parte de los ciudadanos y ciudadanas.</w:t>
      </w:r>
    </w:p>
    <w:p w14:paraId="01314F04" w14:textId="77777777" w:rsidR="00F20D73" w:rsidRDefault="00F20D73" w:rsidP="00F100F0">
      <w:pPr>
        <w:spacing w:line="276" w:lineRule="auto"/>
        <w:jc w:val="both"/>
      </w:pPr>
    </w:p>
    <w:p w14:paraId="5BB10360" w14:textId="4C8BD70C" w:rsidR="00F20D73" w:rsidRDefault="00F20D73" w:rsidP="00F100F0">
      <w:pPr>
        <w:spacing w:line="276" w:lineRule="auto"/>
        <w:jc w:val="both"/>
      </w:pPr>
      <w:r>
        <w:t>Por otra parte, el Consejo de Transparencia también</w:t>
      </w:r>
      <w:r w:rsidR="000B5DCD">
        <w:t xml:space="preserve"> analizará, en los casos en los que así proceda, el </w:t>
      </w:r>
      <w:r w:rsidR="000B5DCD" w:rsidRPr="000B5DCD">
        <w:rPr>
          <w:b/>
        </w:rPr>
        <w:t>cumplimiento de las recomendaciones</w:t>
      </w:r>
      <w:r w:rsidR="000B5DCD">
        <w:t xml:space="preserve"> realizadas por este en las evaluaciones realizadas en 2021. Asimismo, valorará </w:t>
      </w:r>
      <w:r w:rsidRPr="000B5DCD">
        <w:rPr>
          <w:b/>
        </w:rPr>
        <w:t>transparencia voluntaria</w:t>
      </w:r>
      <w:r>
        <w:t xml:space="preserve"> y las </w:t>
      </w:r>
      <w:r w:rsidRPr="000B5DCD">
        <w:rPr>
          <w:b/>
        </w:rPr>
        <w:t>buenas prácticas</w:t>
      </w:r>
      <w:r>
        <w:t xml:space="preserve"> desarrolladas, en este sentido, por las entidades analizadas.</w:t>
      </w:r>
    </w:p>
    <w:p w14:paraId="2BC5CADE" w14:textId="5E046284" w:rsidR="00005A35" w:rsidRDefault="00005A35" w:rsidP="00F100F0">
      <w:pPr>
        <w:spacing w:line="276" w:lineRule="auto"/>
        <w:jc w:val="both"/>
      </w:pPr>
    </w:p>
    <w:p w14:paraId="3CCDD34F" w14:textId="1B90969A" w:rsidR="005759CC" w:rsidRDefault="00ED48ED" w:rsidP="005759CC">
      <w:pPr>
        <w:spacing w:line="276" w:lineRule="auto"/>
        <w:jc w:val="both"/>
      </w:pPr>
      <w:r w:rsidRPr="00580AB0">
        <w:t xml:space="preserve">Con el objetivo de que los resultados de las evaluaciones realizadas estén públicamente </w:t>
      </w:r>
      <w:r w:rsidRPr="00580AB0">
        <w:rPr>
          <w:b/>
        </w:rPr>
        <w:t>disponibles de forma inmediata</w:t>
      </w:r>
      <w:r w:rsidRPr="00580AB0">
        <w:t xml:space="preserve"> a su conclusión, el Consejo irá publicando los informes en su página del web a medida que se vayan elaborando, con independencia de que sean recogidos globalmente al cierre del ejercicio, a través de la memoria anual del CTBG.</w:t>
      </w:r>
    </w:p>
    <w:p w14:paraId="059D84B8" w14:textId="77777777" w:rsidR="00ED48ED" w:rsidRDefault="00ED48ED" w:rsidP="005759CC">
      <w:pPr>
        <w:spacing w:line="276" w:lineRule="auto"/>
        <w:jc w:val="both"/>
      </w:pPr>
    </w:p>
    <w:p w14:paraId="3F304601" w14:textId="1959B57D" w:rsidR="005759CC" w:rsidRDefault="005759CC" w:rsidP="005759CC">
      <w:pPr>
        <w:spacing w:line="276" w:lineRule="auto"/>
        <w:jc w:val="both"/>
      </w:pPr>
      <w:r>
        <w:t xml:space="preserve">El </w:t>
      </w:r>
      <w:hyperlink r:id="rId9" w:history="1">
        <w:r w:rsidRPr="000F4A87">
          <w:rPr>
            <w:rStyle w:val="Hipervnculo"/>
          </w:rPr>
          <w:t>Plan</w:t>
        </w:r>
      </w:hyperlink>
      <w:r>
        <w:t xml:space="preserve"> puede consultarse íntegramente en la web del CTBG: </w:t>
      </w:r>
    </w:p>
    <w:p w14:paraId="59035FCF" w14:textId="60AB5446" w:rsidR="005759CC" w:rsidRPr="00710689" w:rsidRDefault="005759CC" w:rsidP="005759CC">
      <w:pPr>
        <w:spacing w:line="276" w:lineRule="auto"/>
        <w:jc w:val="both"/>
        <w:rPr>
          <w:rStyle w:val="Hipervnculo"/>
          <w:rFonts w:ascii="Calibri" w:hAnsi="Calibri"/>
        </w:rPr>
      </w:pPr>
      <w:r w:rsidRPr="00710689">
        <w:rPr>
          <w:rStyle w:val="CitaHTML"/>
          <w:rFonts w:ascii="Calibri" w:hAnsi="Calibri" w:cs="Arial"/>
          <w:i w:val="0"/>
          <w:iCs w:val="0"/>
          <w:color w:val="4472C4" w:themeColor="accent1"/>
          <w:u w:val="single"/>
          <w:shd w:val="clear" w:color="auto" w:fill="FFFFFF"/>
        </w:rPr>
        <w:fldChar w:fldCharType="begin"/>
      </w:r>
      <w:r w:rsidR="000F4A87">
        <w:rPr>
          <w:rStyle w:val="CitaHTML"/>
          <w:rFonts w:ascii="Calibri" w:hAnsi="Calibri" w:cs="Arial"/>
          <w:i w:val="0"/>
          <w:iCs w:val="0"/>
          <w:color w:val="4472C4" w:themeColor="accent1"/>
          <w:u w:val="single"/>
          <w:shd w:val="clear" w:color="auto" w:fill="FFFFFF"/>
        </w:rPr>
        <w:instrText>HYPERLINK "https://www.consejodetransparencia.es/"</w:instrText>
      </w:r>
      <w:r w:rsidR="000F4A87" w:rsidRPr="00710689">
        <w:rPr>
          <w:rStyle w:val="CitaHTML"/>
          <w:rFonts w:ascii="Calibri" w:hAnsi="Calibri" w:cs="Arial"/>
          <w:i w:val="0"/>
          <w:iCs w:val="0"/>
          <w:color w:val="4472C4" w:themeColor="accent1"/>
          <w:u w:val="single"/>
          <w:shd w:val="clear" w:color="auto" w:fill="FFFFFF"/>
        </w:rPr>
      </w:r>
      <w:r w:rsidRPr="00710689">
        <w:rPr>
          <w:rStyle w:val="CitaHTML"/>
          <w:rFonts w:ascii="Calibri" w:hAnsi="Calibri" w:cs="Arial"/>
          <w:i w:val="0"/>
          <w:iCs w:val="0"/>
          <w:color w:val="4472C4" w:themeColor="accent1"/>
          <w:u w:val="single"/>
          <w:shd w:val="clear" w:color="auto" w:fill="FFFFFF"/>
        </w:rPr>
        <w:fldChar w:fldCharType="separate"/>
      </w:r>
      <w:r w:rsidRPr="00710689">
        <w:rPr>
          <w:rStyle w:val="Hipervnculo"/>
          <w:rFonts w:ascii="Calibri" w:hAnsi="Calibri" w:cs="Arial"/>
          <w:shd w:val="clear" w:color="auto" w:fill="FFFFFF"/>
        </w:rPr>
        <w:t>https://www.consejodetransparencia.es</w:t>
      </w:r>
    </w:p>
    <w:p w14:paraId="6408B327" w14:textId="413F7004" w:rsidR="005759CC" w:rsidRPr="005759CC" w:rsidRDefault="005759CC" w:rsidP="005759CC">
      <w:pPr>
        <w:rPr>
          <w:rFonts w:ascii="Times New Roman" w:hAnsi="Times New Roman" w:cs="Times New Roman"/>
        </w:rPr>
      </w:pPr>
      <w:r w:rsidRPr="00710689">
        <w:rPr>
          <w:rStyle w:val="CitaHTML"/>
          <w:rFonts w:ascii="Calibri" w:hAnsi="Calibri" w:cs="Arial"/>
          <w:i w:val="0"/>
          <w:iCs w:val="0"/>
          <w:color w:val="4472C4" w:themeColor="accent1"/>
          <w:u w:val="single"/>
          <w:shd w:val="clear" w:color="auto" w:fill="FFFFFF"/>
        </w:rPr>
        <w:fldChar w:fldCharType="end"/>
      </w:r>
    </w:p>
    <w:p w14:paraId="1089FE40" w14:textId="5354BD3E" w:rsidR="00517C01" w:rsidRPr="000841AD" w:rsidRDefault="00E43D81" w:rsidP="00BE0ABC">
      <w:pPr>
        <w:jc w:val="both"/>
        <w:rPr>
          <w:u w:val="single"/>
        </w:rPr>
      </w:pPr>
      <w:r w:rsidRPr="00E43D81">
        <w:rPr>
          <w:u w:val="single"/>
        </w:rPr>
        <w:t>Más información</w:t>
      </w:r>
      <w:r w:rsidR="0066064F">
        <w:rPr>
          <w:u w:val="single"/>
        </w:rPr>
        <w:t>:</w:t>
      </w:r>
    </w:p>
    <w:p w14:paraId="18EBA110" w14:textId="77777777" w:rsidR="00E43D81" w:rsidRDefault="00E43D81" w:rsidP="00BE0ABC">
      <w:pPr>
        <w:jc w:val="both"/>
      </w:pPr>
      <w:r>
        <w:t>Marisol Gálvez</w:t>
      </w:r>
    </w:p>
    <w:p w14:paraId="228EA50D" w14:textId="60A329A4" w:rsidR="00E43D81" w:rsidRDefault="00E43D81" w:rsidP="00BE0ABC">
      <w:pPr>
        <w:jc w:val="both"/>
      </w:pPr>
      <w:r>
        <w:t>Comunicación</w:t>
      </w:r>
    </w:p>
    <w:p w14:paraId="555EAD14" w14:textId="77777777" w:rsidR="00CA7998" w:rsidRDefault="00CA7998" w:rsidP="00BE0ABC">
      <w:pPr>
        <w:jc w:val="both"/>
      </w:pPr>
      <w:r>
        <w:t>M. 696 06 12 12</w:t>
      </w:r>
    </w:p>
    <w:p w14:paraId="2C22AB70" w14:textId="1D66617F" w:rsidR="00DB7EA9" w:rsidRDefault="007226B9" w:rsidP="0085526D">
      <w:pPr>
        <w:jc w:val="both"/>
      </w:pPr>
      <w:r>
        <w:rPr>
          <w:rStyle w:val="Hipervnculo"/>
        </w:rPr>
        <w:t>prensa</w:t>
      </w:r>
      <w:hyperlink r:id="rId10" w:history="1">
        <w:r w:rsidR="00BE0ABC" w:rsidRPr="00AF2CFA">
          <w:rPr>
            <w:rStyle w:val="Hipervnculo"/>
          </w:rPr>
          <w:t>@consejodetransparencia.es</w:t>
        </w:r>
      </w:hyperlink>
    </w:p>
    <w:sectPr w:rsidR="00DB7EA9" w:rsidSect="000F4A87">
      <w:headerReference w:type="default" r:id="rId11"/>
      <w:footerReference w:type="even" r:id="rId12"/>
      <w:footerReference w:type="default" r:id="rId13"/>
      <w:pgSz w:w="11900" w:h="16840"/>
      <w:pgMar w:top="1810" w:right="1701" w:bottom="1204" w:left="1701" w:header="47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F663" w14:textId="77777777" w:rsidR="00330360" w:rsidRDefault="00330360" w:rsidP="00CA7998">
      <w:r>
        <w:separator/>
      </w:r>
    </w:p>
  </w:endnote>
  <w:endnote w:type="continuationSeparator" w:id="0">
    <w:p w14:paraId="334A9C60" w14:textId="77777777" w:rsidR="00330360" w:rsidRDefault="00330360" w:rsidP="00CA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6066271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BD11D7F" w14:textId="77777777" w:rsidR="00CA7998" w:rsidRDefault="00CA7998" w:rsidP="00AF2CF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55120" w14:textId="77777777" w:rsidR="00CA7998" w:rsidRDefault="00CA7998" w:rsidP="00CA79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4548265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1168E2" w14:textId="77777777" w:rsidR="00CA7998" w:rsidRDefault="00CA7998" w:rsidP="00CA7998">
        <w:pPr>
          <w:pStyle w:val="Piedepgina"/>
          <w:framePr w:wrap="none" w:vAnchor="text" w:hAnchor="margin" w:xAlign="right" w:y="1"/>
          <w:jc w:val="center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F4A87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5F18C87" w14:textId="77777777" w:rsidR="00CA7998" w:rsidRDefault="00CA7998" w:rsidP="00CA79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3E5E" w14:textId="77777777" w:rsidR="00330360" w:rsidRDefault="00330360" w:rsidP="00CA7998">
      <w:r>
        <w:separator/>
      </w:r>
    </w:p>
  </w:footnote>
  <w:footnote w:type="continuationSeparator" w:id="0">
    <w:p w14:paraId="219B23B2" w14:textId="77777777" w:rsidR="00330360" w:rsidRDefault="00330360" w:rsidP="00CA7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755A8" w14:textId="5C181DA1" w:rsidR="0097128B" w:rsidRDefault="00E03AC0" w:rsidP="0097128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0034438" wp14:editId="1F62E0BF">
          <wp:extent cx="1739735" cy="862707"/>
          <wp:effectExtent l="0" t="0" r="0" b="0"/>
          <wp:docPr id="2" name="Imagen 2" descr="C:\Users\rosablanca.diazh\AppData\Local\Microsoft\Windows\INetCache\Content.Outlook\QW5DLCF2\Logo CTBG AAI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blanca.diazh\AppData\Local\Microsoft\Windows\INetCache\Content.Outlook\QW5DLCF2\Logo CTBG AAI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177" cy="865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205"/>
    <w:multiLevelType w:val="hybridMultilevel"/>
    <w:tmpl w:val="E92489F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8F323B"/>
    <w:multiLevelType w:val="hybridMultilevel"/>
    <w:tmpl w:val="F21E22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822679"/>
    <w:multiLevelType w:val="hybridMultilevel"/>
    <w:tmpl w:val="3BA494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07"/>
    <w:rsid w:val="00005A35"/>
    <w:rsid w:val="0001442B"/>
    <w:rsid w:val="000464E8"/>
    <w:rsid w:val="000841AD"/>
    <w:rsid w:val="000878BA"/>
    <w:rsid w:val="000B5DCD"/>
    <w:rsid w:val="000C5E5C"/>
    <w:rsid w:val="000E2D97"/>
    <w:rsid w:val="000F4A87"/>
    <w:rsid w:val="001075B8"/>
    <w:rsid w:val="00150F5D"/>
    <w:rsid w:val="001859D5"/>
    <w:rsid w:val="001D6307"/>
    <w:rsid w:val="001F05A5"/>
    <w:rsid w:val="002409A8"/>
    <w:rsid w:val="00284BFB"/>
    <w:rsid w:val="00307E3B"/>
    <w:rsid w:val="00310EBE"/>
    <w:rsid w:val="00325C12"/>
    <w:rsid w:val="00330360"/>
    <w:rsid w:val="003342A8"/>
    <w:rsid w:val="003C2A13"/>
    <w:rsid w:val="0041656D"/>
    <w:rsid w:val="00450BA2"/>
    <w:rsid w:val="004A59B0"/>
    <w:rsid w:val="004F76A7"/>
    <w:rsid w:val="00510C27"/>
    <w:rsid w:val="00517C01"/>
    <w:rsid w:val="005759CC"/>
    <w:rsid w:val="00580AB0"/>
    <w:rsid w:val="0058616E"/>
    <w:rsid w:val="00593616"/>
    <w:rsid w:val="005A4E9D"/>
    <w:rsid w:val="005C0DFC"/>
    <w:rsid w:val="005C2B71"/>
    <w:rsid w:val="0061712E"/>
    <w:rsid w:val="0066064F"/>
    <w:rsid w:val="006840D3"/>
    <w:rsid w:val="006C248A"/>
    <w:rsid w:val="006C27EC"/>
    <w:rsid w:val="006F347D"/>
    <w:rsid w:val="006F58FB"/>
    <w:rsid w:val="007226B9"/>
    <w:rsid w:val="00763D0E"/>
    <w:rsid w:val="00782926"/>
    <w:rsid w:val="007C1989"/>
    <w:rsid w:val="00841589"/>
    <w:rsid w:val="0085526D"/>
    <w:rsid w:val="00874EAE"/>
    <w:rsid w:val="00876D65"/>
    <w:rsid w:val="00881C25"/>
    <w:rsid w:val="00891FBA"/>
    <w:rsid w:val="008B3B0E"/>
    <w:rsid w:val="008C6C8E"/>
    <w:rsid w:val="00900504"/>
    <w:rsid w:val="00917AAA"/>
    <w:rsid w:val="009451B0"/>
    <w:rsid w:val="00945961"/>
    <w:rsid w:val="00950703"/>
    <w:rsid w:val="0097128B"/>
    <w:rsid w:val="00971A98"/>
    <w:rsid w:val="009B53DA"/>
    <w:rsid w:val="00A06BEB"/>
    <w:rsid w:val="00A34C3E"/>
    <w:rsid w:val="00A56232"/>
    <w:rsid w:val="00A57DD0"/>
    <w:rsid w:val="00A94D5F"/>
    <w:rsid w:val="00AA069B"/>
    <w:rsid w:val="00AF00C8"/>
    <w:rsid w:val="00B001E5"/>
    <w:rsid w:val="00B2522C"/>
    <w:rsid w:val="00BA5536"/>
    <w:rsid w:val="00BE0ABC"/>
    <w:rsid w:val="00BF55C7"/>
    <w:rsid w:val="00C066A5"/>
    <w:rsid w:val="00C1290D"/>
    <w:rsid w:val="00C14AFB"/>
    <w:rsid w:val="00C35BCF"/>
    <w:rsid w:val="00CA7998"/>
    <w:rsid w:val="00D37FCD"/>
    <w:rsid w:val="00DB7EA9"/>
    <w:rsid w:val="00DC5DBC"/>
    <w:rsid w:val="00DF58C7"/>
    <w:rsid w:val="00E03AC0"/>
    <w:rsid w:val="00E40B96"/>
    <w:rsid w:val="00E42688"/>
    <w:rsid w:val="00E43D81"/>
    <w:rsid w:val="00EB022A"/>
    <w:rsid w:val="00ED48ED"/>
    <w:rsid w:val="00F027E8"/>
    <w:rsid w:val="00F100F0"/>
    <w:rsid w:val="00F20D73"/>
    <w:rsid w:val="00F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50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0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AB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0ABC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CA79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98"/>
  </w:style>
  <w:style w:type="character" w:styleId="Nmerodepgina">
    <w:name w:val="page number"/>
    <w:basedOn w:val="Fuentedeprrafopredeter"/>
    <w:uiPriority w:val="99"/>
    <w:semiHidden/>
    <w:unhideWhenUsed/>
    <w:rsid w:val="00CA7998"/>
  </w:style>
  <w:style w:type="paragraph" w:styleId="Encabezado">
    <w:name w:val="header"/>
    <w:basedOn w:val="Normal"/>
    <w:link w:val="EncabezadoCar"/>
    <w:uiPriority w:val="99"/>
    <w:unhideWhenUsed/>
    <w:rsid w:val="00CA79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98"/>
  </w:style>
  <w:style w:type="character" w:styleId="CitaHTML">
    <w:name w:val="HTML Cite"/>
    <w:basedOn w:val="Fuentedeprrafopredeter"/>
    <w:uiPriority w:val="99"/>
    <w:semiHidden/>
    <w:unhideWhenUsed/>
    <w:rsid w:val="005759C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0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AB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0ABC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CA79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98"/>
  </w:style>
  <w:style w:type="character" w:styleId="Nmerodepgina">
    <w:name w:val="page number"/>
    <w:basedOn w:val="Fuentedeprrafopredeter"/>
    <w:uiPriority w:val="99"/>
    <w:semiHidden/>
    <w:unhideWhenUsed/>
    <w:rsid w:val="00CA7998"/>
  </w:style>
  <w:style w:type="paragraph" w:styleId="Encabezado">
    <w:name w:val="header"/>
    <w:basedOn w:val="Normal"/>
    <w:link w:val="EncabezadoCar"/>
    <w:uiPriority w:val="99"/>
    <w:unhideWhenUsed/>
    <w:rsid w:val="00CA79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98"/>
  </w:style>
  <w:style w:type="character" w:styleId="CitaHTML">
    <w:name w:val="HTML Cite"/>
    <w:basedOn w:val="Fuentedeprrafopredeter"/>
    <w:uiPriority w:val="99"/>
    <w:semiHidden/>
    <w:unhideWhenUsed/>
    <w:rsid w:val="005759C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jodetransparencia.es/ct_Home/Actividad/Evaluaciones/Planes-de-evaluacion22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@consejodetransparenci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ejodetransparencia.es/ct_Home/Actividad/Evaluaciones/Planes-de-evaluacion22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yolanda.diez</cp:lastModifiedBy>
  <cp:revision>3</cp:revision>
  <dcterms:created xsi:type="dcterms:W3CDTF">2022-02-01T08:21:00Z</dcterms:created>
  <dcterms:modified xsi:type="dcterms:W3CDTF">2022-02-01T08:57:00Z</dcterms:modified>
</cp:coreProperties>
</file>