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B566" w14:textId="287FD5CF" w:rsidR="005A259F" w:rsidRPr="001552BC" w:rsidRDefault="005A259F" w:rsidP="00AD0004">
      <w:pPr>
        <w:tabs>
          <w:tab w:val="left" w:pos="2535"/>
        </w:tabs>
        <w:jc w:val="center"/>
        <w:rPr>
          <w:rFonts w:ascii="Mulish" w:eastAsia="Mulish" w:hAnsi="Mulish" w:cs="Arial"/>
          <w:b/>
          <w:bCs/>
          <w:sz w:val="28"/>
          <w:szCs w:val="28"/>
          <w:lang w:eastAsia="es-ES" w:bidi="es-ES"/>
        </w:rPr>
      </w:pPr>
      <w:bookmarkStart w:id="0" w:name="_Hlk190693673"/>
    </w:p>
    <w:p w14:paraId="03F133DD" w14:textId="47E2AC89" w:rsidR="005A259F" w:rsidRPr="001552BC" w:rsidRDefault="005A259F" w:rsidP="005A259F">
      <w:pPr>
        <w:tabs>
          <w:tab w:val="left" w:pos="2535"/>
        </w:tabs>
        <w:jc w:val="center"/>
        <w:rPr>
          <w:rFonts w:ascii="Mulish" w:eastAsia="Mulish" w:hAnsi="Mulish" w:cs="Arial"/>
          <w:b/>
          <w:bCs/>
          <w:sz w:val="28"/>
          <w:szCs w:val="28"/>
          <w:lang w:eastAsia="es-ES" w:bidi="es-ES"/>
        </w:rPr>
      </w:pPr>
      <w:bookmarkStart w:id="1" w:name="_Hlk236223643"/>
      <w:r w:rsidRPr="001552BC">
        <w:rPr>
          <w:rFonts w:ascii="Mulish" w:eastAsia="Mulish" w:hAnsi="Mulish" w:cs="Arial"/>
          <w:b/>
          <w:bCs/>
          <w:sz w:val="28"/>
          <w:szCs w:val="28"/>
          <w:lang w:eastAsia="es-ES" w:bidi="es-ES"/>
        </w:rPr>
        <w:t>Alianza entre el CTBG y la FEMP para reforzar la transparencia en las administraciones locales</w:t>
      </w:r>
    </w:p>
    <w:p w14:paraId="01753027" w14:textId="0FF6E03E" w:rsidR="005A259F" w:rsidRPr="001552BC" w:rsidRDefault="005A259F" w:rsidP="005A259F">
      <w:pPr>
        <w:pStyle w:val="Prrafodelista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Mulish" w:eastAsia="Mulish" w:hAnsi="Mulish" w:cs="Mulish"/>
          <w:lang w:eastAsia="es-ES" w:bidi="es-ES"/>
        </w:rPr>
      </w:pPr>
      <w:r w:rsidRPr="001552BC">
        <w:rPr>
          <w:rFonts w:ascii="Mulish" w:eastAsia="Mulish" w:hAnsi="Mulish" w:cs="Mulish"/>
          <w:lang w:eastAsia="es-ES" w:bidi="es-ES"/>
        </w:rPr>
        <w:t xml:space="preserve">Las dos instituciones han firmado hoy un convenio que tiene por objeto difundir la cultura de la transparencia y los valores del buen gobierno entre las entidades locales y los cargos públicos. </w:t>
      </w:r>
    </w:p>
    <w:p w14:paraId="2B94312B" w14:textId="77777777" w:rsidR="005A259F" w:rsidRPr="001552BC" w:rsidRDefault="005A259F" w:rsidP="005A259F">
      <w:pPr>
        <w:pStyle w:val="Prrafodelista"/>
        <w:shd w:val="clear" w:color="auto" w:fill="FFFFFF"/>
        <w:spacing w:before="100" w:beforeAutospacing="1" w:after="100" w:afterAutospacing="1"/>
        <w:rPr>
          <w:rFonts w:ascii="Mulish" w:eastAsia="Mulish" w:hAnsi="Mulish" w:cs="Mulish"/>
          <w:lang w:eastAsia="es-ES" w:bidi="es-ES"/>
        </w:rPr>
      </w:pPr>
    </w:p>
    <w:p w14:paraId="07C4F175" w14:textId="5C65DE8F" w:rsidR="005A259F" w:rsidRPr="001552BC" w:rsidRDefault="005A259F" w:rsidP="005A259F">
      <w:pPr>
        <w:pStyle w:val="Prrafodelista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Mulish" w:eastAsia="Mulish" w:hAnsi="Mulish" w:cs="Mulish"/>
          <w:lang w:eastAsia="es-ES" w:bidi="es-ES"/>
        </w:rPr>
      </w:pPr>
      <w:r w:rsidRPr="001552BC">
        <w:rPr>
          <w:rFonts w:ascii="Mulish" w:eastAsia="Mulish" w:hAnsi="Mulish" w:cs="Mulish"/>
          <w:lang w:eastAsia="es-ES" w:bidi="es-ES"/>
        </w:rPr>
        <w:t xml:space="preserve">La presidenta del CTBG destaca el compromiso de la Autoridad Independiente </w:t>
      </w:r>
      <w:r w:rsidR="00D258FC" w:rsidRPr="001552BC">
        <w:rPr>
          <w:rFonts w:ascii="Mulish" w:eastAsia="Mulish" w:hAnsi="Mulish" w:cs="Mulish"/>
          <w:lang w:eastAsia="es-ES" w:bidi="es-ES"/>
        </w:rPr>
        <w:t xml:space="preserve">para </w:t>
      </w:r>
      <w:r w:rsidRPr="001552BC">
        <w:rPr>
          <w:rFonts w:ascii="Mulish" w:eastAsia="Mulish" w:hAnsi="Mulish" w:cs="Mulish"/>
          <w:lang w:eastAsia="es-ES" w:bidi="es-ES"/>
        </w:rPr>
        <w:t xml:space="preserve">ayudar a cumplir la Ley de Transparencia en el ámbito local, </w:t>
      </w:r>
      <w:r w:rsidR="002D1F61" w:rsidRPr="001552BC">
        <w:rPr>
          <w:rFonts w:ascii="Mulish" w:eastAsia="Mulish" w:hAnsi="Mulish" w:cs="Mulish"/>
          <w:lang w:eastAsia="es-ES" w:bidi="es-ES"/>
        </w:rPr>
        <w:t>en el que el</w:t>
      </w:r>
      <w:r w:rsidRPr="001552BC">
        <w:rPr>
          <w:rFonts w:ascii="Mulish" w:eastAsia="Mulish" w:hAnsi="Mulish" w:cs="Mulish"/>
          <w:lang w:eastAsia="es-ES" w:bidi="es-ES"/>
        </w:rPr>
        <w:t xml:space="preserve"> silencio administrativo es un recurso demasiado frecuente ante las solicitudes de acceso a la información. </w:t>
      </w:r>
    </w:p>
    <w:p w14:paraId="3E591BF4" w14:textId="77777777" w:rsidR="005A259F" w:rsidRPr="001552BC" w:rsidRDefault="005A259F" w:rsidP="005A259F">
      <w:pPr>
        <w:pStyle w:val="Prrafodelista"/>
        <w:shd w:val="clear" w:color="auto" w:fill="FFFFFF"/>
        <w:spacing w:before="100" w:beforeAutospacing="1" w:after="100" w:afterAutospacing="1"/>
        <w:rPr>
          <w:rFonts w:ascii="Mulish" w:eastAsia="Mulish" w:hAnsi="Mulish" w:cs="Mulish"/>
          <w:lang w:eastAsia="es-ES" w:bidi="es-ES"/>
        </w:rPr>
      </w:pPr>
    </w:p>
    <w:p w14:paraId="4B3A322D" w14:textId="4E934714" w:rsidR="005A259F" w:rsidRPr="001552BC" w:rsidRDefault="005A259F" w:rsidP="005A259F">
      <w:pPr>
        <w:pStyle w:val="Prrafodelista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Mulish" w:eastAsia="Mulish" w:hAnsi="Mulish" w:cs="Mulish"/>
          <w:lang w:eastAsia="es-ES" w:bidi="es-ES"/>
        </w:rPr>
      </w:pPr>
      <w:r w:rsidRPr="001552BC">
        <w:rPr>
          <w:rFonts w:ascii="Mulish" w:eastAsia="Mulish" w:hAnsi="Mulish" w:cs="Mulish"/>
          <w:lang w:eastAsia="es-ES" w:bidi="es-ES"/>
        </w:rPr>
        <w:t xml:space="preserve">El acuerdo contempla </w:t>
      </w:r>
      <w:r w:rsidR="00D258FC" w:rsidRPr="001552BC">
        <w:rPr>
          <w:rFonts w:ascii="Mulish" w:eastAsia="Mulish" w:hAnsi="Mulish" w:cs="Mulish"/>
          <w:lang w:eastAsia="es-ES" w:bidi="es-ES"/>
        </w:rPr>
        <w:t xml:space="preserve">colaborar para realizar </w:t>
      </w:r>
      <w:r w:rsidRPr="001552BC">
        <w:rPr>
          <w:rFonts w:ascii="Mulish" w:eastAsia="Mulish" w:hAnsi="Mulish" w:cs="Mulish"/>
          <w:lang w:eastAsia="es-ES" w:bidi="es-ES"/>
        </w:rPr>
        <w:t>actividades de formación y sensibilización</w:t>
      </w:r>
      <w:r w:rsidR="00D258FC" w:rsidRPr="001552BC">
        <w:rPr>
          <w:rFonts w:ascii="Mulish" w:eastAsia="Mulish" w:hAnsi="Mulish" w:cs="Mulish"/>
          <w:lang w:eastAsia="es-ES" w:bidi="es-ES"/>
        </w:rPr>
        <w:t xml:space="preserve">, </w:t>
      </w:r>
      <w:r w:rsidRPr="001552BC">
        <w:rPr>
          <w:rFonts w:ascii="Mulish" w:eastAsia="Mulish" w:hAnsi="Mulish" w:cs="Mulish"/>
          <w:lang w:eastAsia="es-ES" w:bidi="es-ES"/>
        </w:rPr>
        <w:t xml:space="preserve">elaborar guías prácticas, recomendaciones y códigos de conducta, </w:t>
      </w:r>
      <w:r w:rsidR="00D258FC" w:rsidRPr="001552BC">
        <w:rPr>
          <w:rFonts w:ascii="Mulish" w:eastAsia="Mulish" w:hAnsi="Mulish" w:cs="Mulish"/>
          <w:lang w:eastAsia="es-ES" w:bidi="es-ES"/>
        </w:rPr>
        <w:t>e identificar las barreras que encuentra la ciudadanía para ejercitar sus derechos en materia de transparencia ante sus ayuntamientos y otras entidades locales</w:t>
      </w:r>
      <w:r w:rsidR="001552BC">
        <w:rPr>
          <w:rFonts w:ascii="Mulish" w:eastAsia="Mulish" w:hAnsi="Mulish" w:cs="Mulish"/>
          <w:lang w:eastAsia="es-ES" w:bidi="es-ES"/>
        </w:rPr>
        <w:t xml:space="preserve">. </w:t>
      </w:r>
    </w:p>
    <w:p w14:paraId="77C93844" w14:textId="77777777" w:rsidR="00B51CDE" w:rsidRPr="00B51CDE" w:rsidRDefault="00B51CDE" w:rsidP="00B51CDE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0AE0BB5F" w14:textId="77777777" w:rsidR="00AD0004" w:rsidRPr="00AD0004" w:rsidRDefault="00B51CDE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B51CDE">
        <w:rPr>
          <w:rFonts w:ascii="Mulish" w:eastAsia="Mulish" w:hAnsi="Mulish" w:cs="Arial"/>
          <w:color w:val="0C0C0C" w:themeColor="text1"/>
          <w:lang w:eastAsia="es-ES" w:bidi="es-ES"/>
        </w:rPr>
        <w:t>Madrid, 2</w:t>
      </w:r>
      <w:r w:rsidR="00AD0004">
        <w:rPr>
          <w:rFonts w:ascii="Mulish" w:eastAsia="Mulish" w:hAnsi="Mulish" w:cs="Arial"/>
          <w:color w:val="0C0C0C" w:themeColor="text1"/>
          <w:lang w:eastAsia="es-ES" w:bidi="es-ES"/>
        </w:rPr>
        <w:t>9</w:t>
      </w:r>
      <w:r w:rsidRPr="00B51CDE">
        <w:rPr>
          <w:rFonts w:ascii="Mulish" w:eastAsia="Mulish" w:hAnsi="Mulish" w:cs="Arial"/>
          <w:color w:val="0C0C0C" w:themeColor="text1"/>
          <w:lang w:eastAsia="es-ES" w:bidi="es-ES"/>
        </w:rPr>
        <w:t xml:space="preserve"> de ju</w:t>
      </w:r>
      <w:r w:rsidR="00AD0004">
        <w:rPr>
          <w:rFonts w:ascii="Mulish" w:eastAsia="Mulish" w:hAnsi="Mulish" w:cs="Arial"/>
          <w:color w:val="0C0C0C" w:themeColor="text1"/>
          <w:lang w:eastAsia="es-ES" w:bidi="es-ES"/>
        </w:rPr>
        <w:t>l</w:t>
      </w:r>
      <w:r w:rsidRPr="00B51CDE">
        <w:rPr>
          <w:rFonts w:ascii="Mulish" w:eastAsia="Mulish" w:hAnsi="Mulish" w:cs="Arial"/>
          <w:color w:val="0C0C0C" w:themeColor="text1"/>
          <w:lang w:eastAsia="es-ES" w:bidi="es-ES"/>
        </w:rPr>
        <w:t xml:space="preserve">io de 2026.- </w:t>
      </w:r>
      <w:r w:rsidR="00AD0004"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El Consejo de Transparencia y Buen Gobierno (CTBG) y la Federación Española de Municipios y Provincias (FEMP) han firmado un </w:t>
      </w:r>
      <w:r w:rsidR="00AD0004" w:rsidRPr="00C61A45">
        <w:rPr>
          <w:rFonts w:ascii="Mulish" w:eastAsia="Mulish" w:hAnsi="Mulish" w:cs="Arial"/>
          <w:color w:val="0C0C0C" w:themeColor="text1"/>
          <w:lang w:eastAsia="es-ES" w:bidi="es-ES"/>
        </w:rPr>
        <w:t>convenio de colaboración</w:t>
      </w:r>
      <w:r w:rsidR="00AD0004"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para impulsar la cultura de la transparencia y los valores del buen gobierno entre las entidades y organismos de la Administración Local en todo el territorio nacional.</w:t>
      </w:r>
    </w:p>
    <w:bookmarkEnd w:id="1"/>
    <w:p w14:paraId="662E49E6" w14:textId="77777777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6A80DA31" w14:textId="252800C5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Con este acuerdo, suscrito hoy por la presidenta del CTBG, Concepción Campos y el secretario general de la FEMP, Luis Martínez-</w:t>
      </w:r>
      <w:proofErr w:type="spellStart"/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Sicluna</w:t>
      </w:r>
      <w:proofErr w:type="spellEnd"/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, las dos entidades se comprometen a realizar actuaciones de difusión destinad</w:t>
      </w:r>
      <w:r>
        <w:rPr>
          <w:rFonts w:ascii="Mulish" w:eastAsia="Mulish" w:hAnsi="Mulish" w:cs="Arial"/>
          <w:color w:val="0C0C0C" w:themeColor="text1"/>
          <w:lang w:eastAsia="es-ES" w:bidi="es-ES"/>
        </w:rPr>
        <w:t>a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s a promover el conocimiento de la transparencia, la publicidad activa, el derecho de acceso a la información pública y el buen gobierno </w:t>
      </w:r>
      <w:r>
        <w:rPr>
          <w:rFonts w:ascii="Mulish" w:eastAsia="Mulish" w:hAnsi="Mulish" w:cs="Arial"/>
          <w:color w:val="0C0C0C" w:themeColor="text1"/>
          <w:lang w:eastAsia="es-ES" w:bidi="es-ES"/>
        </w:rPr>
        <w:t>tanto entre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los empleados públicos al servicio de las entidades locales </w:t>
      </w:r>
      <w:r>
        <w:rPr>
          <w:rFonts w:ascii="Mulish" w:eastAsia="Mulish" w:hAnsi="Mulish" w:cs="Arial"/>
          <w:color w:val="0C0C0C" w:themeColor="text1"/>
          <w:lang w:eastAsia="es-ES" w:bidi="es-ES"/>
        </w:rPr>
        <w:t xml:space="preserve">como 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entre los cargos públicos representativos locales.</w:t>
      </w:r>
    </w:p>
    <w:p w14:paraId="6296A3EF" w14:textId="77777777" w:rsidR="00AD0004" w:rsidRP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6C3F69DB" w14:textId="6E24D785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Estas actividades comprenden la organización de acciones formativas (cursos, jornadas, seminarios, clases, talleres, conferencias) y eventos de divulgación y sensibilización, como presentaciones, mesas redondas</w:t>
      </w:r>
      <w:r w:rsidR="006868DF">
        <w:rPr>
          <w:rFonts w:ascii="Mulish" w:eastAsia="Mulish" w:hAnsi="Mulish" w:cs="Arial"/>
          <w:color w:val="0C0C0C" w:themeColor="text1"/>
          <w:lang w:eastAsia="es-ES" w:bidi="es-ES"/>
        </w:rPr>
        <w:t xml:space="preserve"> 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y foros de debate.  </w:t>
      </w:r>
    </w:p>
    <w:p w14:paraId="731CCC5D" w14:textId="77777777" w:rsidR="00AD0004" w:rsidRP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57CCF184" w14:textId="597BC554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También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 xml:space="preserve"> abordarán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la elaboración conjunta de manuales, guías prácticas, recomendaciones, códigos de conducta 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 xml:space="preserve">y 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otra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>s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publicaci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>o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n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>es e instrumentos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destinad</w:t>
      </w:r>
      <w:r w:rsidR="00833E7C">
        <w:rPr>
          <w:rFonts w:ascii="Mulish" w:eastAsia="Mulish" w:hAnsi="Mulish" w:cs="Arial"/>
          <w:color w:val="0C0C0C" w:themeColor="text1"/>
          <w:lang w:eastAsia="es-ES" w:bidi="es-ES"/>
        </w:rPr>
        <w:t>os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a la mejora y perfeccionamiento del cumplimiento, por las entidades que integran la Administración local, de las obligaciones que establece la Ley 19/2013 de Transparencia, acceso a la información pública y buen gobierno (LTAIBG)</w:t>
      </w:r>
      <w:r>
        <w:rPr>
          <w:rFonts w:ascii="Mulish" w:eastAsia="Mulish" w:hAnsi="Mulish" w:cs="Arial"/>
          <w:color w:val="0C0C0C" w:themeColor="text1"/>
          <w:lang w:eastAsia="es-ES" w:bidi="es-ES"/>
        </w:rPr>
        <w:t xml:space="preserve">. </w:t>
      </w:r>
    </w:p>
    <w:p w14:paraId="49D37012" w14:textId="77777777" w:rsidR="00AD0004" w:rsidRP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6C5A31A3" w14:textId="50C0B4A5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lastRenderedPageBreak/>
        <w:t>Asimismo, el convenio prevé la colaboración de las dos entidades para identificar las barreras</w:t>
      </w:r>
      <w:r w:rsidR="0033320D">
        <w:rPr>
          <w:rFonts w:ascii="Mulish" w:eastAsia="Mulish" w:hAnsi="Mulish" w:cs="Arial"/>
          <w:color w:val="0C0C0C" w:themeColor="text1"/>
          <w:lang w:eastAsia="es-ES" w:bidi="es-ES"/>
        </w:rPr>
        <w:t>, deficiencias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o dificultades que encuentra la ciudadanía para ejercitar sus derechos en materia de transparencia y acceso a la información pública ante sus ayuntamientos y otras entidades locales</w:t>
      </w:r>
      <w:r w:rsidR="006868DF">
        <w:rPr>
          <w:rFonts w:ascii="Mulish" w:eastAsia="Mulish" w:hAnsi="Mulish" w:cs="Arial"/>
          <w:color w:val="0C0C0C" w:themeColor="text1"/>
          <w:lang w:eastAsia="es-ES" w:bidi="es-ES"/>
        </w:rPr>
        <w:t>,</w:t>
      </w:r>
      <w:r>
        <w:rPr>
          <w:rFonts w:ascii="Mulish" w:eastAsia="Mulish" w:hAnsi="Mulish" w:cs="Arial"/>
          <w:color w:val="0C0C0C" w:themeColor="text1"/>
          <w:lang w:eastAsia="es-ES" w:bidi="es-ES"/>
        </w:rPr>
        <w:t xml:space="preserve"> y tratar de superarlas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. </w:t>
      </w:r>
    </w:p>
    <w:p w14:paraId="32AB93BD" w14:textId="7B4F77ED" w:rsidR="001552BC" w:rsidRDefault="001552BC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17326353" w14:textId="0AC43261" w:rsidR="001552BC" w:rsidRDefault="001552BC" w:rsidP="001552BC">
      <w:pPr>
        <w:jc w:val="both"/>
        <w:rPr>
          <w:rFonts w:ascii="Mulish" w:hAnsi="Mulish"/>
          <w:color w:val="000000"/>
          <w:lang w:eastAsia="es-ES"/>
        </w:rPr>
      </w:pPr>
      <w:r w:rsidRPr="001552BC">
        <w:rPr>
          <w:rFonts w:ascii="Mulish" w:hAnsi="Mulish"/>
          <w:lang w:eastAsia="es-ES"/>
        </w:rPr>
        <w:t xml:space="preserve">Tras la firma del convenio, la presidenta </w:t>
      </w:r>
      <w:r>
        <w:rPr>
          <w:rFonts w:ascii="Mulish" w:hAnsi="Mulish"/>
          <w:color w:val="000000"/>
          <w:lang w:eastAsia="es-ES"/>
        </w:rPr>
        <w:t xml:space="preserve">del CTBG, autoridad administrativa independiente encargada de velar por la transparencia pública en el nivel estatal, ha destacado que “el papel del Consejo es el de ayudar a cumplir la ley de transparencia, especialmente, en el ámbito local, en el que el silencio administrativo es un recurso demasiado frecuente ante las solicitudes de acceso a la información, una respuesta que no es compatible con una auténtica cultura de transparencia”.  También ha puesto el acento en el “gran incremento del número de reclamaciones presentadas en este ámbito”, </w:t>
      </w:r>
      <w:r>
        <w:rPr>
          <w:rFonts w:ascii="Mulish" w:hAnsi="Mulish"/>
          <w:color w:val="000000"/>
          <w:lang w:eastAsia="es-ES"/>
        </w:rPr>
        <w:t>incidiendo</w:t>
      </w:r>
      <w:r>
        <w:rPr>
          <w:rFonts w:ascii="Mulish" w:hAnsi="Mulish"/>
          <w:color w:val="000000"/>
          <w:lang w:eastAsia="es-ES"/>
        </w:rPr>
        <w:t xml:space="preserve"> en que “es necesario reforzar la publicidad activa, es decir, la información que se publica en los portales de transparencia, que llega al conjunto de la sociedad y no sólo a las personas que la solicitan, algo especialmente importan en el nivel de gobierno y administración más próximo a la ciudadanía”.</w:t>
      </w:r>
    </w:p>
    <w:p w14:paraId="7B23A544" w14:textId="7A657F49" w:rsidR="00AD0004" w:rsidRPr="00AD0004" w:rsidRDefault="00AD0004" w:rsidP="002D1F61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Por su parte, el </w:t>
      </w:r>
      <w:r w:rsidRPr="001552BC">
        <w:rPr>
          <w:rFonts w:ascii="Mulish" w:eastAsia="Mulish" w:hAnsi="Mulish" w:cs="Arial"/>
          <w:lang w:eastAsia="es-ES" w:bidi="es-ES"/>
        </w:rPr>
        <w:t>secretario general de la FEMP</w:t>
      </w:r>
      <w:r w:rsidR="002D1F61" w:rsidRPr="001552BC">
        <w:rPr>
          <w:rFonts w:ascii="Mulish" w:eastAsia="Mulish" w:hAnsi="Mulish" w:cs="Arial"/>
          <w:lang w:eastAsia="es-ES" w:bidi="es-ES"/>
        </w:rPr>
        <w:t xml:space="preserve"> ha subrayado la necesidad de contar con «gobiernos abiertos, confiables y transparentes», en los que los ciudadanos sean corresponsables en la toma de decisiones que les afecten en su día a día. «Cuando hablamos de administración abierta, hablamos de transparencia, de participación y de rendición de cuentas. Pero también de algo más profundo: la nueva forma en la que las instituciones se relacionan con la ciudadanía», ha indicado Martínez-</w:t>
      </w:r>
      <w:proofErr w:type="spellStart"/>
      <w:r w:rsidR="002D1F61" w:rsidRPr="001552BC">
        <w:rPr>
          <w:rFonts w:ascii="Mulish" w:eastAsia="Mulish" w:hAnsi="Mulish" w:cs="Arial"/>
          <w:lang w:eastAsia="es-ES" w:bidi="es-ES"/>
        </w:rPr>
        <w:t>Sicluna</w:t>
      </w:r>
      <w:proofErr w:type="spellEnd"/>
      <w:r w:rsidR="002D1F61" w:rsidRPr="001552BC">
        <w:rPr>
          <w:rFonts w:ascii="Mulish" w:eastAsia="Mulish" w:hAnsi="Mulish" w:cs="Arial"/>
          <w:lang w:eastAsia="es-ES" w:bidi="es-ES"/>
        </w:rPr>
        <w:t>, tras señalar que abrir la administración no es solo una obligación legal, sino una forma de entender el servicio público y de asumir que la información pertenece a la ciudadana y que la participación mejora las decisiones. «La FEMP va a seguir impulsando este camino con determinación porque en ello nos va algo más que la calidad administrativa: nos va la calidad democrática y porque, en definitiva, abrir la administración es la mejor forma de respetar a la ciudadanía».</w:t>
      </w:r>
    </w:p>
    <w:p w14:paraId="21882774" w14:textId="77777777" w:rsidR="00AD0004" w:rsidRP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0CE0BE08" w14:textId="60E0CB94" w:rsidR="00AD0004" w:rsidRDefault="00AD0004" w:rsidP="00AD0004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La colaboración entre el Consejo y la FEMP no e</w:t>
      </w:r>
      <w:r w:rsidR="00F168D4">
        <w:rPr>
          <w:rFonts w:ascii="Mulish" w:eastAsia="Mulish" w:hAnsi="Mulish" w:cs="Arial"/>
          <w:color w:val="0C0C0C" w:themeColor="text1"/>
          <w:lang w:eastAsia="es-ES" w:bidi="es-ES"/>
        </w:rPr>
        <w:t>s una novedad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. La Federación cre</w:t>
      </w:r>
      <w:r w:rsidR="00C61A45">
        <w:rPr>
          <w:rFonts w:ascii="Mulish" w:eastAsia="Mulish" w:hAnsi="Mulish" w:cs="Arial"/>
          <w:color w:val="0C0C0C" w:themeColor="text1"/>
          <w:lang w:eastAsia="es-ES" w:bidi="es-ES"/>
        </w:rPr>
        <w:t>ó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</w:t>
      </w:r>
      <w:r w:rsidRPr="002D1F61">
        <w:rPr>
          <w:rFonts w:ascii="Mulish" w:eastAsia="Mulish" w:hAnsi="Mulish" w:cs="Arial"/>
          <w:lang w:eastAsia="es-ES" w:bidi="es-ES"/>
        </w:rPr>
        <w:t xml:space="preserve">en 2015 la Red de Entidades Locales por la Transparencia y Participación Ciudadana para promover la innovación y mejora permanente de la relación entre los gobiernos locales y 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los ciudadanos mediante el intercambio de experiencias, el aprendizaje permanente y el desarrollo de proyectos, de Consejo </w:t>
      </w:r>
      <w:r w:rsidR="00C61A45">
        <w:rPr>
          <w:rFonts w:ascii="Mulish" w:eastAsia="Mulish" w:hAnsi="Mulish" w:cs="Arial"/>
          <w:color w:val="0C0C0C" w:themeColor="text1"/>
          <w:lang w:eastAsia="es-ES" w:bidi="es-ES"/>
        </w:rPr>
        <w:t xml:space="preserve">forma parte 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>como socio observador</w:t>
      </w:r>
      <w:r w:rsidR="00F168D4">
        <w:rPr>
          <w:rFonts w:ascii="Mulish" w:eastAsia="Mulish" w:hAnsi="Mulish" w:cs="Arial"/>
          <w:color w:val="0C0C0C" w:themeColor="text1"/>
          <w:lang w:eastAsia="es-ES" w:bidi="es-ES"/>
        </w:rPr>
        <w:t xml:space="preserve"> y</w:t>
      </w:r>
      <w:r w:rsidR="00F168D4" w:rsidRPr="00C61A45">
        <w:rPr>
          <w:rFonts w:ascii="Mulish" w:eastAsia="Mulish" w:hAnsi="Mulish" w:cs="Arial"/>
          <w:color w:val="0C0C0C" w:themeColor="text1"/>
          <w:lang w:eastAsia="es-ES" w:bidi="es-ES"/>
        </w:rPr>
        <w:t xml:space="preserve"> colabora activamente en sus grupos de trabajo</w:t>
      </w:r>
      <w:r w:rsidRPr="00C61A45">
        <w:rPr>
          <w:rFonts w:ascii="Mulish" w:eastAsia="Mulish" w:hAnsi="Mulish" w:cs="Arial"/>
          <w:color w:val="0C0C0C" w:themeColor="text1"/>
          <w:lang w:eastAsia="es-ES" w:bidi="es-ES"/>
        </w:rPr>
        <w:t>.</w:t>
      </w:r>
      <w:r w:rsidRPr="00AD0004">
        <w:rPr>
          <w:rFonts w:ascii="Mulish" w:eastAsia="Mulish" w:hAnsi="Mulish" w:cs="Arial"/>
          <w:color w:val="0C0C0C" w:themeColor="text1"/>
          <w:lang w:eastAsia="es-ES" w:bidi="es-ES"/>
        </w:rPr>
        <w:t xml:space="preserve"> </w:t>
      </w:r>
    </w:p>
    <w:bookmarkEnd w:id="0"/>
    <w:p w14:paraId="61D082C4" w14:textId="77777777" w:rsidR="0045561E" w:rsidRPr="000E2A46" w:rsidRDefault="0045561E" w:rsidP="00770C9C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p w14:paraId="4480E598" w14:textId="2A5ABE4A" w:rsidR="00DC3235" w:rsidRDefault="0081296A" w:rsidP="005F213F">
      <w:pPr>
        <w:spacing w:after="0"/>
        <w:jc w:val="both"/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</w:pPr>
      <w:r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  <w:t>Funciones del</w:t>
      </w:r>
      <w:r w:rsidR="00815DC8"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  <w:t xml:space="preserve"> Consejo de Transparencia y Buen Gobierno</w:t>
      </w:r>
      <w:r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  <w:t xml:space="preserve"> en el ámbito local </w:t>
      </w:r>
    </w:p>
    <w:p w14:paraId="1047A987" w14:textId="283F5E3C" w:rsidR="00815DC8" w:rsidRDefault="00815DC8" w:rsidP="005F213F">
      <w:pPr>
        <w:spacing w:after="0"/>
        <w:jc w:val="both"/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</w:pPr>
    </w:p>
    <w:p w14:paraId="220EF47F" w14:textId="78A9B6AE" w:rsidR="00815DC8" w:rsidRPr="00815DC8" w:rsidRDefault="00815DC8" w:rsidP="00815DC8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 xml:space="preserve">El Consejo de Transparencia y Buen Gobierno (CTBG) es la autoridad independiente encargada de promover la transparencia de la actividad pública en España, velar por el cumplimiento de las obligaciones de publicidad activa y salvaguardar el ejercicio del derecho de acceso a la información pública. </w:t>
      </w:r>
      <w:r>
        <w:rPr>
          <w:rFonts w:ascii="Mulish" w:eastAsia="Mulish" w:hAnsi="Mulish" w:cs="Arial"/>
          <w:color w:val="0C0C0C" w:themeColor="text1"/>
          <w:lang w:eastAsia="es-ES" w:bidi="es-ES"/>
        </w:rPr>
        <w:t>En ese sentido, u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 xml:space="preserve">na de las funciones 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lastRenderedPageBreak/>
        <w:t xml:space="preserve">principales del CTBG </w:t>
      </w:r>
      <w:r>
        <w:rPr>
          <w:rFonts w:ascii="Mulish" w:eastAsia="Mulish" w:hAnsi="Mulish" w:cs="Arial"/>
          <w:color w:val="0C0C0C" w:themeColor="text1"/>
          <w:lang w:eastAsia="es-ES" w:bidi="es-ES"/>
        </w:rPr>
        <w:t>es resolver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 xml:space="preserve"> las reclamaciones presentadas por los ciudadanos y ciudadanas frente a la denegación de información por parte de la administración o la falta de respuesta a una solicitud de acceso, tanto en el ámbito de la Administración General del Estado y el sector público estatal</w:t>
      </w:r>
      <w:r>
        <w:rPr>
          <w:rFonts w:ascii="Mulish" w:eastAsia="Mulish" w:hAnsi="Mulish" w:cs="Arial"/>
          <w:color w:val="0C0C0C" w:themeColor="text1"/>
          <w:lang w:eastAsia="es-ES" w:bidi="es-ES"/>
        </w:rPr>
        <w:t>,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 xml:space="preserve"> como en el </w:t>
      </w:r>
      <w:r>
        <w:rPr>
          <w:rFonts w:ascii="Mulish" w:eastAsia="Mulish" w:hAnsi="Mulish" w:cs="Arial"/>
          <w:color w:val="0C0C0C" w:themeColor="text1"/>
          <w:lang w:eastAsia="es-ES" w:bidi="es-ES"/>
        </w:rPr>
        <w:t xml:space="preserve">autonómico y local 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>de aquellas comunidades autónomas que han atribuido al Consejo el ejercicio de la competencia para resolver los expedientes en esta materia</w:t>
      </w:r>
      <w:r>
        <w:rPr>
          <w:rFonts w:ascii="Mulish" w:eastAsia="Mulish" w:hAnsi="Mulish" w:cs="Arial"/>
          <w:color w:val="0C0C0C" w:themeColor="text1"/>
          <w:lang w:eastAsia="es-ES" w:bidi="es-ES"/>
        </w:rPr>
        <w:t xml:space="preserve"> (</w:t>
      </w:r>
      <w:r w:rsidRPr="00815DC8">
        <w:rPr>
          <w:rFonts w:ascii="Mulish" w:eastAsia="Mulish" w:hAnsi="Mulish" w:cs="Arial"/>
          <w:color w:val="0C0C0C" w:themeColor="text1"/>
          <w:lang w:eastAsia="es-ES" w:bidi="es-ES"/>
        </w:rPr>
        <w:t>en la actualidad, Asturias, Cantabria, Extremadura, Illes Balears, La Rioja y las ciudades autónomas de Ceuta y Melilla</w:t>
      </w:r>
      <w:r>
        <w:rPr>
          <w:rFonts w:ascii="Mulish" w:eastAsia="Mulish" w:hAnsi="Mulish" w:cs="Arial"/>
          <w:color w:val="0C0C0C" w:themeColor="text1"/>
          <w:lang w:eastAsia="es-ES" w:bidi="es-ES"/>
        </w:rPr>
        <w:t>)</w:t>
      </w:r>
      <w:r w:rsidR="00F168D4">
        <w:rPr>
          <w:rFonts w:ascii="Mulish" w:eastAsia="Mulish" w:hAnsi="Mulish" w:cs="Arial"/>
          <w:color w:val="0C0C0C" w:themeColor="text1"/>
          <w:lang w:eastAsia="es-ES" w:bidi="es-ES"/>
        </w:rPr>
        <w:t xml:space="preserve">, </w:t>
      </w:r>
      <w:r w:rsidR="00F168D4" w:rsidRPr="00C61A45">
        <w:rPr>
          <w:rFonts w:ascii="Mulish" w:eastAsia="Mulish" w:hAnsi="Mulish" w:cs="Arial"/>
          <w:color w:val="0C0C0C" w:themeColor="text1"/>
          <w:lang w:eastAsia="es-ES" w:bidi="es-ES"/>
        </w:rPr>
        <w:t>conectando así al Consejo de forma directa como autoridad garante también respecto a ayuntamientos, diputaciones y otras entidades locales en dichos territorios.</w:t>
      </w:r>
    </w:p>
    <w:p w14:paraId="02E99233" w14:textId="559A4F0C" w:rsidR="00815DC8" w:rsidRDefault="00815DC8" w:rsidP="005F213F">
      <w:pPr>
        <w:spacing w:after="0"/>
        <w:jc w:val="both"/>
        <w:rPr>
          <w:rFonts w:ascii="Mulish" w:eastAsia="Mulish" w:hAnsi="Mulish" w:cs="Arial"/>
          <w:b/>
          <w:bCs/>
          <w:color w:val="0C0C0C" w:themeColor="text1"/>
          <w:u w:val="single"/>
          <w:lang w:eastAsia="es-ES" w:bidi="es-ES"/>
        </w:rPr>
      </w:pPr>
    </w:p>
    <w:p w14:paraId="614AC246" w14:textId="77777777" w:rsidR="00DC3235" w:rsidRPr="000E2A46" w:rsidRDefault="00DC3235" w:rsidP="005F213F">
      <w:pPr>
        <w:spacing w:after="0"/>
        <w:jc w:val="both"/>
        <w:rPr>
          <w:rFonts w:ascii="Mulish" w:eastAsia="Mulish" w:hAnsi="Mulish" w:cs="Arial"/>
          <w:lang w:eastAsia="es-ES" w:bidi="es-ES"/>
        </w:rPr>
      </w:pPr>
    </w:p>
    <w:p w14:paraId="09B4FB26" w14:textId="77777777" w:rsidR="001A1E34" w:rsidRPr="000E2A46" w:rsidRDefault="001A1E34" w:rsidP="00A15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ulish" w:eastAsia="Mulish" w:hAnsi="Mulish" w:cs="Arial"/>
          <w:lang w:eastAsia="es-ES" w:bidi="es-ES"/>
        </w:rPr>
      </w:pPr>
      <w:bookmarkStart w:id="2" w:name="_Hlk201738437"/>
      <w:r w:rsidRPr="000E2A46">
        <w:rPr>
          <w:rFonts w:ascii="Mulish" w:eastAsia="Mulish" w:hAnsi="Mulish" w:cs="Arial"/>
          <w:lang w:eastAsia="es-ES" w:bidi="es-ES"/>
        </w:rPr>
        <w:t xml:space="preserve">Para más información y entrevistas: </w:t>
      </w:r>
    </w:p>
    <w:p w14:paraId="3D7CFA59" w14:textId="77777777" w:rsidR="001A1E34" w:rsidRPr="000E2A46" w:rsidRDefault="001A1E34" w:rsidP="00A15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ulish" w:eastAsia="Mulish" w:hAnsi="Mulish" w:cs="Arial"/>
          <w:lang w:eastAsia="es-ES" w:bidi="es-ES"/>
        </w:rPr>
      </w:pPr>
    </w:p>
    <w:p w14:paraId="4F489B9B" w14:textId="553F9B9B" w:rsidR="001A1E34" w:rsidRPr="000E2A46" w:rsidRDefault="001A1E34" w:rsidP="00A15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Style w:val="Hipervnculo"/>
          <w:rFonts w:ascii="Mulish" w:hAnsi="Mulish" w:cs="Arial"/>
        </w:rPr>
      </w:pPr>
      <w:r w:rsidRPr="000E2A46">
        <w:rPr>
          <w:rStyle w:val="Hipervnculo"/>
          <w:rFonts w:ascii="Mulish" w:hAnsi="Mulish" w:cs="Arial"/>
        </w:rPr>
        <w:t>prensa</w:t>
      </w:r>
      <w:hyperlink r:id="rId8" w:history="1">
        <w:r w:rsidRPr="000E2A46">
          <w:rPr>
            <w:rStyle w:val="Hipervnculo"/>
            <w:rFonts w:ascii="Mulish" w:hAnsi="Mulish" w:cs="Arial"/>
          </w:rPr>
          <w:t>@consejodetransparencia.es</w:t>
        </w:r>
      </w:hyperlink>
    </w:p>
    <w:p w14:paraId="6E8F1541" w14:textId="6157BB40" w:rsidR="005924E2" w:rsidRPr="000E2A46" w:rsidRDefault="001A1E34" w:rsidP="00A15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ulish" w:eastAsia="Mulish" w:hAnsi="Mulish" w:cs="Arial"/>
          <w:lang w:eastAsia="es-ES" w:bidi="es-ES"/>
        </w:rPr>
      </w:pPr>
      <w:r w:rsidRPr="000E2A46">
        <w:rPr>
          <w:rFonts w:ascii="Mulish" w:eastAsia="Mulish" w:hAnsi="Mulish" w:cs="Arial"/>
          <w:lang w:eastAsia="es-ES" w:bidi="es-ES"/>
        </w:rPr>
        <w:t xml:space="preserve">91 273 33 45 / </w:t>
      </w:r>
      <w:r w:rsidR="005924E2" w:rsidRPr="000E2A46">
        <w:rPr>
          <w:rFonts w:ascii="Mulish" w:eastAsia="Mulish" w:hAnsi="Mulish" w:cs="Arial"/>
          <w:lang w:eastAsia="es-ES" w:bidi="es-ES"/>
        </w:rPr>
        <w:t>91 273 33 00</w:t>
      </w:r>
    </w:p>
    <w:p w14:paraId="5A7CA961" w14:textId="7B7AE5F8" w:rsidR="001A1E34" w:rsidRPr="000E2A46" w:rsidRDefault="001A1E34" w:rsidP="00A15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Mulish" w:eastAsia="Mulish" w:hAnsi="Mulish" w:cs="Arial"/>
          <w:lang w:eastAsia="es-ES" w:bidi="es-ES"/>
        </w:rPr>
      </w:pPr>
    </w:p>
    <w:bookmarkEnd w:id="2"/>
    <w:p w14:paraId="46576641" w14:textId="21FAAD79" w:rsidR="00FE0865" w:rsidRPr="000E2A46" w:rsidRDefault="00FE0865" w:rsidP="005F213F">
      <w:pPr>
        <w:spacing w:after="0"/>
        <w:jc w:val="both"/>
        <w:rPr>
          <w:rFonts w:ascii="Mulish" w:eastAsia="Mulish" w:hAnsi="Mulish" w:cs="Arial"/>
          <w:color w:val="0C0C0C" w:themeColor="text1"/>
          <w:lang w:eastAsia="es-ES" w:bidi="es-ES"/>
        </w:rPr>
      </w:pPr>
    </w:p>
    <w:sectPr w:rsidR="00FE0865" w:rsidRPr="000E2A46" w:rsidSect="00C34F6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B6BD" w14:textId="77777777" w:rsidR="00350BE9" w:rsidRDefault="00350BE9" w:rsidP="00E033DF">
      <w:pPr>
        <w:spacing w:after="0" w:line="240" w:lineRule="auto"/>
      </w:pPr>
      <w:r>
        <w:separator/>
      </w:r>
    </w:p>
  </w:endnote>
  <w:endnote w:type="continuationSeparator" w:id="0">
    <w:p w14:paraId="45B78B0A" w14:textId="77777777" w:rsidR="00350BE9" w:rsidRDefault="00350BE9" w:rsidP="00E0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9197"/>
      <w:docPartObj>
        <w:docPartGallery w:val="Page Numbers (Bottom of Page)"/>
        <w:docPartUnique/>
      </w:docPartObj>
    </w:sdtPr>
    <w:sdtEndPr/>
    <w:sdtContent>
      <w:p w14:paraId="6C40E5E8" w14:textId="388E40E1" w:rsidR="009B3A1E" w:rsidRPr="00A40308" w:rsidRDefault="00A667E2" w:rsidP="00F436DD">
        <w:pPr>
          <w:pStyle w:val="Piedepgina"/>
          <w:tabs>
            <w:tab w:val="clear" w:pos="8504"/>
          </w:tabs>
          <w:ind w:right="-568"/>
          <w:jc w:val="center"/>
          <w:rPr>
            <w:rFonts w:ascii="Mulish" w:hAnsi="Mulish"/>
            <w:sz w:val="16"/>
            <w:szCs w:val="16"/>
          </w:rPr>
        </w:pPr>
        <w:r w:rsidRPr="00F436DD">
          <w:rPr>
            <w:rFonts w:ascii="Mulish" w:hAnsi="Mulish"/>
            <w:noProof/>
            <w:sz w:val="16"/>
            <w:szCs w:val="16"/>
            <w:lang w:eastAsia="es-ES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6C40E5F9" wp14:editId="572EC6D2">
                  <wp:simplePos x="0" y="0"/>
                  <wp:positionH relativeFrom="column">
                    <wp:posOffset>7855585</wp:posOffset>
                  </wp:positionH>
                  <wp:positionV relativeFrom="paragraph">
                    <wp:posOffset>164465</wp:posOffset>
                  </wp:positionV>
                  <wp:extent cx="0" cy="358140"/>
                  <wp:effectExtent l="6985" t="12065" r="12065" b="10795"/>
                  <wp:wrapNone/>
                  <wp:docPr id="980581345" name="AutoShap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3581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shapetype w14:anchorId="335C4C4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26" type="#_x0000_t32" style="position:absolute;margin-left:618.55pt;margin-top:12.95pt;width:0;height:2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"/>
              </w:pict>
            </mc:Fallback>
          </mc:AlternateContent>
        </w:r>
        <w:r w:rsidR="00E94641">
          <w:tab/>
        </w:r>
        <w:r w:rsidRPr="00F436DD">
          <w:rPr>
            <w:rFonts w:ascii="Mulish" w:hAnsi="Mulish"/>
            <w:sz w:val="16"/>
            <w:szCs w:val="16"/>
          </w:rPr>
          <w:fldChar w:fldCharType="begin"/>
        </w:r>
        <w:r w:rsidRPr="00F436DD">
          <w:rPr>
            <w:rFonts w:ascii="Mulish" w:hAnsi="Mulish"/>
            <w:sz w:val="16"/>
            <w:szCs w:val="16"/>
          </w:rPr>
          <w:instrText xml:space="preserve"> PAGE   \* MERGEFORMAT </w:instrText>
        </w:r>
        <w:r w:rsidRPr="00F436DD">
          <w:rPr>
            <w:rFonts w:ascii="Mulish" w:hAnsi="Mulish"/>
            <w:sz w:val="16"/>
            <w:szCs w:val="16"/>
          </w:rPr>
          <w:fldChar w:fldCharType="separate"/>
        </w:r>
        <w:r w:rsidR="000A35BB">
          <w:rPr>
            <w:rFonts w:ascii="Mulish" w:hAnsi="Mulish"/>
            <w:noProof/>
            <w:sz w:val="16"/>
            <w:szCs w:val="16"/>
          </w:rPr>
          <w:t>1</w:t>
        </w:r>
        <w:r w:rsidRPr="00F436DD">
          <w:rPr>
            <w:rFonts w:ascii="Mulish" w:hAnsi="Mulish"/>
            <w:noProof/>
            <w:sz w:val="16"/>
            <w:szCs w:val="16"/>
          </w:rPr>
          <w:fldChar w:fldCharType="end"/>
        </w:r>
        <w:r w:rsidR="009B3A1E" w:rsidRPr="00F436DD">
          <w:rPr>
            <w:rFonts w:ascii="Mulish" w:hAnsi="Mulish"/>
            <w:sz w:val="16"/>
            <w:szCs w:val="16"/>
          </w:rPr>
          <w:t xml:space="preserve">  </w:t>
        </w:r>
        <w:r w:rsidR="009B3A1E" w:rsidRPr="00A40308">
          <w:rPr>
            <w:rFonts w:ascii="Mulish" w:hAnsi="Mulish"/>
          </w:rPr>
          <w:t xml:space="preserve">                                                                                                            </w:t>
        </w:r>
        <w:r w:rsidR="009B3A1E" w:rsidRPr="00A40308">
          <w:rPr>
            <w:rFonts w:ascii="Mulish" w:hAnsi="Mulish"/>
            <w:sz w:val="16"/>
            <w:szCs w:val="16"/>
          </w:rPr>
          <w:t>CONSEJO DE TRANSPARENCIA</w:t>
        </w:r>
        <w:r w:rsidR="00F51DB5" w:rsidRPr="00A40308">
          <w:rPr>
            <w:rFonts w:ascii="Mulish" w:hAnsi="Mulish"/>
            <w:sz w:val="16"/>
            <w:szCs w:val="16"/>
          </w:rPr>
          <w:t xml:space="preserve"> </w:t>
        </w:r>
        <w:r w:rsidR="00DD76CF" w:rsidRPr="00A40308">
          <w:rPr>
            <w:rFonts w:ascii="Mulish" w:hAnsi="Mulish"/>
            <w:sz w:val="16"/>
            <w:szCs w:val="16"/>
          </w:rPr>
          <w:t>AAI</w:t>
        </w:r>
        <w:r w:rsidR="009B3A1E" w:rsidRPr="00A40308">
          <w:rPr>
            <w:rFonts w:ascii="Mulish" w:hAnsi="Mulish"/>
            <w:noProof/>
            <w:sz w:val="24"/>
            <w:szCs w:val="24"/>
            <w:lang w:eastAsia="es-ES"/>
          </w:rPr>
          <w:t xml:space="preserve"> </w:t>
        </w:r>
      </w:p>
      <w:p w14:paraId="6C40E5E9" w14:textId="77777777" w:rsidR="004E6B2E" w:rsidRDefault="0019271B" w:rsidP="005B3D95">
        <w:pPr>
          <w:pStyle w:val="Piedepgin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E5F5" w14:textId="413E2187" w:rsidR="009B3A1E" w:rsidRPr="000974DF" w:rsidRDefault="00A667E2" w:rsidP="001021B2">
    <w:pPr>
      <w:pStyle w:val="Piedepgina"/>
      <w:jc w:val="center"/>
      <w:rPr>
        <w:rFonts w:ascii="Mulish" w:hAnsi="Mulish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56DAD95" wp14:editId="4E703215">
              <wp:simplePos x="0" y="0"/>
              <wp:positionH relativeFrom="page">
                <wp:posOffset>876935</wp:posOffset>
              </wp:positionH>
              <wp:positionV relativeFrom="page">
                <wp:posOffset>10072370</wp:posOffset>
              </wp:positionV>
              <wp:extent cx="1299845" cy="365760"/>
              <wp:effectExtent l="0" t="0" r="0" b="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FF72EF" w14:textId="77777777" w:rsidR="00362D91" w:rsidRPr="00A655A2" w:rsidRDefault="00362D91" w:rsidP="00362D91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A655A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A655A2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DA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9.05pt;margin-top:793.1pt;width:102.35pt;height:28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" filled="f" stroked="f">
              <v:textbox inset="0,0,0,0">
                <w:txbxContent>
                  <w:p w14:paraId="5DFF72EF" w14:textId="77777777" w:rsidR="00362D91" w:rsidRPr="00A655A2" w:rsidRDefault="00362D91" w:rsidP="00362D91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A655A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A655A2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9F40DE2" wp14:editId="52CD6E8A">
              <wp:simplePos x="0" y="0"/>
              <wp:positionH relativeFrom="page">
                <wp:posOffset>4848860</wp:posOffset>
              </wp:positionH>
              <wp:positionV relativeFrom="page">
                <wp:posOffset>10081260</wp:posOffset>
              </wp:positionV>
              <wp:extent cx="2000250" cy="419100"/>
              <wp:effectExtent l="0" t="0" r="0" b="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F72C9" w14:textId="77777777" w:rsidR="001C2B35" w:rsidRPr="00054646" w:rsidRDefault="0019271B" w:rsidP="001C2B35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>
                            <w:r w:rsidR="001C2B35" w:rsidRPr="00054646">
                              <w:rPr>
                                <w:rFonts w:ascii="Mulish" w:hAnsi="Mulish"/>
                                <w:sz w:val="14"/>
                                <w:lang w:val="en-GB"/>
                              </w:rPr>
                              <w:t>email: ctbg@consejodetransparencia.es</w:t>
                            </w:r>
                          </w:hyperlink>
                          <w:r w:rsidR="001C2B35" w:rsidRPr="0005464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20 - 91 273 33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F40DE2" id="Cuadro de texto 1" o:spid="_x0000_s1027" type="#_x0000_t202" style="position:absolute;left:0;text-align:left;margin-left:381.8pt;margin-top:793.8pt;width:157.5pt;height:3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" filled="f" stroked="f">
              <v:textbox inset="0,0,0,0">
                <w:txbxContent>
                  <w:p w14:paraId="59EF72C9" w14:textId="77777777" w:rsidR="001C2B35" w:rsidRPr="00054646" w:rsidRDefault="002D1F61" w:rsidP="001C2B35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2">
                      <w:r w:rsidR="001C2B35" w:rsidRPr="00054646">
                        <w:rPr>
                          <w:rFonts w:ascii="Mulish" w:hAnsi="Mulish"/>
                          <w:sz w:val="14"/>
                          <w:lang w:val="en-GB"/>
                        </w:rPr>
                        <w:t>email: ctbg@consejodetransparencia.es</w:t>
                      </w:r>
                    </w:hyperlink>
                    <w:r w:rsidR="001C2B35" w:rsidRPr="0005464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20 - 91 273 33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1A91">
      <w:tab/>
    </w:r>
    <w:r w:rsidR="00F31A91">
      <w:tab/>
    </w:r>
    <w:r w:rsidR="00F31A91">
      <w:tab/>
    </w:r>
    <w:r w:rsidR="00F31A91">
      <w:tab/>
    </w:r>
    <w:r w:rsidR="001C2B3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2D2E" w14:textId="77777777" w:rsidR="00350BE9" w:rsidRDefault="00350BE9" w:rsidP="00E033DF">
      <w:pPr>
        <w:spacing w:after="0" w:line="240" w:lineRule="auto"/>
      </w:pPr>
      <w:r>
        <w:separator/>
      </w:r>
    </w:p>
  </w:footnote>
  <w:footnote w:type="continuationSeparator" w:id="0">
    <w:p w14:paraId="19E78E19" w14:textId="77777777" w:rsidR="00350BE9" w:rsidRDefault="00350BE9" w:rsidP="00E03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1301" w14:textId="2B84BDF8" w:rsidR="00A666AD" w:rsidRDefault="00AD0004" w:rsidP="00AD0004">
    <w:pPr>
      <w:pStyle w:val="Encabezado"/>
      <w:tabs>
        <w:tab w:val="clear" w:pos="4252"/>
        <w:tab w:val="clear" w:pos="8504"/>
        <w:tab w:val="left" w:pos="4280"/>
      </w:tabs>
      <w:ind w:left="-284"/>
      <w:rPr>
        <w:sz w:val="16"/>
        <w:szCs w:val="16"/>
      </w:rPr>
    </w:pPr>
    <w:r w:rsidRPr="00AD0004">
      <w:rPr>
        <w:noProof/>
        <w:sz w:val="16"/>
        <w:szCs w:val="16"/>
      </w:rPr>
      <w:drawing>
        <wp:anchor distT="0" distB="0" distL="114300" distR="114300" simplePos="0" relativeHeight="251684864" behindDoc="1" locked="0" layoutInCell="1" allowOverlap="1" wp14:anchorId="2675B267" wp14:editId="0D415F33">
          <wp:simplePos x="0" y="0"/>
          <wp:positionH relativeFrom="margin">
            <wp:posOffset>4058920</wp:posOffset>
          </wp:positionH>
          <wp:positionV relativeFrom="paragraph">
            <wp:posOffset>-351155</wp:posOffset>
          </wp:positionV>
          <wp:extent cx="1543050" cy="891905"/>
          <wp:effectExtent l="0" t="0" r="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891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A0B">
      <w:rPr>
        <w:noProof/>
        <w:lang w:eastAsia="es-ES"/>
      </w:rPr>
      <w:drawing>
        <wp:anchor distT="0" distB="0" distL="114300" distR="114300" simplePos="0" relativeHeight="251683840" behindDoc="0" locked="0" layoutInCell="1" allowOverlap="1" wp14:anchorId="009FC8A4" wp14:editId="062650AD">
          <wp:simplePos x="0" y="0"/>
          <wp:positionH relativeFrom="margin">
            <wp:posOffset>-362585</wp:posOffset>
          </wp:positionH>
          <wp:positionV relativeFrom="margin">
            <wp:posOffset>-816610</wp:posOffset>
          </wp:positionV>
          <wp:extent cx="1798320" cy="419100"/>
          <wp:effectExtent l="0" t="0" r="0" b="0"/>
          <wp:wrapSquare wrapText="bothSides"/>
          <wp:docPr id="1704970856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835127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ab/>
    </w:r>
  </w:p>
  <w:p w14:paraId="26353F07" w14:textId="0551F394" w:rsidR="00A666AD" w:rsidRDefault="00A666AD" w:rsidP="008D3392">
    <w:pPr>
      <w:pStyle w:val="Encabezado"/>
      <w:ind w:left="-284"/>
      <w:rPr>
        <w:sz w:val="16"/>
        <w:szCs w:val="16"/>
      </w:rPr>
    </w:pPr>
  </w:p>
  <w:p w14:paraId="4F080CFF" w14:textId="77777777" w:rsidR="00A666AD" w:rsidRDefault="00A666AD" w:rsidP="008D3392">
    <w:pPr>
      <w:pStyle w:val="Encabezado"/>
      <w:ind w:left="-284"/>
      <w:rPr>
        <w:sz w:val="16"/>
        <w:szCs w:val="16"/>
      </w:rPr>
    </w:pPr>
  </w:p>
  <w:p w14:paraId="06866FF9" w14:textId="77777777" w:rsidR="00A666AD" w:rsidRDefault="00A666AD" w:rsidP="008D3392">
    <w:pPr>
      <w:pStyle w:val="Encabezado"/>
      <w:ind w:left="-284"/>
      <w:rPr>
        <w:sz w:val="16"/>
        <w:szCs w:val="16"/>
      </w:rPr>
    </w:pPr>
  </w:p>
  <w:p w14:paraId="1BA3DC98" w14:textId="77777777" w:rsidR="00A666AD" w:rsidRDefault="00A666AD" w:rsidP="008D3392">
    <w:pPr>
      <w:pStyle w:val="Encabezado"/>
      <w:ind w:left="-284"/>
      <w:rPr>
        <w:sz w:val="16"/>
        <w:szCs w:val="16"/>
      </w:rPr>
    </w:pPr>
  </w:p>
  <w:p w14:paraId="6C40E5E5" w14:textId="081D95D3" w:rsidR="004E6B2E" w:rsidRPr="005951F3" w:rsidRDefault="004E6B2E" w:rsidP="008D3392">
    <w:pPr>
      <w:pStyle w:val="Encabezado"/>
      <w:ind w:left="-284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E5EB" w14:textId="31BCD447" w:rsidR="005D4FB7" w:rsidRDefault="00F3528C" w:rsidP="00407A64">
    <w:pPr>
      <w:pStyle w:val="Sinespaciado"/>
      <w:tabs>
        <w:tab w:val="left" w:pos="6705"/>
      </w:tabs>
      <w:ind w:left="-284"/>
    </w:pPr>
    <w:r>
      <w:tab/>
    </w:r>
  </w:p>
  <w:p w14:paraId="6C40E5EC" w14:textId="568A3200" w:rsidR="004E6B2E" w:rsidRDefault="004E6B2E" w:rsidP="00E873AB">
    <w:pPr>
      <w:pStyle w:val="Encabezado"/>
    </w:pPr>
  </w:p>
  <w:p w14:paraId="6C40E5F1" w14:textId="77777777" w:rsidR="00F31A91" w:rsidRDefault="00F31A91" w:rsidP="00E873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55A2"/>
    <w:multiLevelType w:val="hybridMultilevel"/>
    <w:tmpl w:val="FAA2A5D4"/>
    <w:lvl w:ilvl="0" w:tplc="0C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757A02"/>
    <w:multiLevelType w:val="hybridMultilevel"/>
    <w:tmpl w:val="DAB62E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D5189"/>
    <w:multiLevelType w:val="hybridMultilevel"/>
    <w:tmpl w:val="93604176"/>
    <w:lvl w:ilvl="0" w:tplc="0C0A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3" w15:restartNumberingAfterBreak="0">
    <w:nsid w:val="1FFF37C4"/>
    <w:multiLevelType w:val="hybridMultilevel"/>
    <w:tmpl w:val="0C9AF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305A0"/>
    <w:multiLevelType w:val="hybridMultilevel"/>
    <w:tmpl w:val="FF68F5BC"/>
    <w:lvl w:ilvl="0" w:tplc="CA582274">
      <w:start w:val="1"/>
      <w:numFmt w:val="bullet"/>
      <w:lvlText w:val="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E8916AC"/>
    <w:multiLevelType w:val="multilevel"/>
    <w:tmpl w:val="F04E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32F8D"/>
    <w:multiLevelType w:val="hybridMultilevel"/>
    <w:tmpl w:val="BBBCCC2E"/>
    <w:lvl w:ilvl="0" w:tplc="3C24B5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color w:val="0C0C0C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10947"/>
    <w:multiLevelType w:val="hybridMultilevel"/>
    <w:tmpl w:val="7AD0E230"/>
    <w:lvl w:ilvl="0" w:tplc="F22AECF0">
      <w:numFmt w:val="bullet"/>
      <w:lvlText w:val="•"/>
      <w:lvlJc w:val="left"/>
      <w:pPr>
        <w:ind w:left="786" w:hanging="360"/>
      </w:pPr>
      <w:rPr>
        <w:rFonts w:ascii="Mulish" w:eastAsia="Mulish" w:hAnsi="Mulish" w:cs="Mulish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7144683"/>
    <w:multiLevelType w:val="hybridMultilevel"/>
    <w:tmpl w:val="A782A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0C0C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A8"/>
    <w:rsid w:val="00016F4F"/>
    <w:rsid w:val="00020447"/>
    <w:rsid w:val="00020D07"/>
    <w:rsid w:val="00022A5E"/>
    <w:rsid w:val="000319A0"/>
    <w:rsid w:val="00042A6A"/>
    <w:rsid w:val="00054104"/>
    <w:rsid w:val="00054646"/>
    <w:rsid w:val="000566D2"/>
    <w:rsid w:val="00067423"/>
    <w:rsid w:val="00075D7A"/>
    <w:rsid w:val="0009002D"/>
    <w:rsid w:val="000967B9"/>
    <w:rsid w:val="000974DF"/>
    <w:rsid w:val="000A35BB"/>
    <w:rsid w:val="000A4974"/>
    <w:rsid w:val="000A633D"/>
    <w:rsid w:val="000B22B3"/>
    <w:rsid w:val="000B3967"/>
    <w:rsid w:val="000B5A52"/>
    <w:rsid w:val="000C28B9"/>
    <w:rsid w:val="000C4037"/>
    <w:rsid w:val="000C7521"/>
    <w:rsid w:val="000D62B4"/>
    <w:rsid w:val="000D6A10"/>
    <w:rsid w:val="000E2A46"/>
    <w:rsid w:val="00101E4F"/>
    <w:rsid w:val="001021B2"/>
    <w:rsid w:val="00107F37"/>
    <w:rsid w:val="00110D03"/>
    <w:rsid w:val="00126597"/>
    <w:rsid w:val="00126747"/>
    <w:rsid w:val="00126BF7"/>
    <w:rsid w:val="0013358C"/>
    <w:rsid w:val="00137CC2"/>
    <w:rsid w:val="001456C9"/>
    <w:rsid w:val="0015363A"/>
    <w:rsid w:val="00153863"/>
    <w:rsid w:val="001543D9"/>
    <w:rsid w:val="001552BC"/>
    <w:rsid w:val="00161CD5"/>
    <w:rsid w:val="0017059D"/>
    <w:rsid w:val="00172B40"/>
    <w:rsid w:val="00182590"/>
    <w:rsid w:val="0018353B"/>
    <w:rsid w:val="001839D9"/>
    <w:rsid w:val="00187879"/>
    <w:rsid w:val="0019271B"/>
    <w:rsid w:val="001A1E34"/>
    <w:rsid w:val="001C2B35"/>
    <w:rsid w:val="001C619B"/>
    <w:rsid w:val="001E2D06"/>
    <w:rsid w:val="001F1141"/>
    <w:rsid w:val="0020357A"/>
    <w:rsid w:val="002040D1"/>
    <w:rsid w:val="002134BE"/>
    <w:rsid w:val="00224350"/>
    <w:rsid w:val="00224C4F"/>
    <w:rsid w:val="002265EE"/>
    <w:rsid w:val="0023304E"/>
    <w:rsid w:val="0025152B"/>
    <w:rsid w:val="00285BCA"/>
    <w:rsid w:val="00285D61"/>
    <w:rsid w:val="00292E9B"/>
    <w:rsid w:val="00296D96"/>
    <w:rsid w:val="002B20AF"/>
    <w:rsid w:val="002C228E"/>
    <w:rsid w:val="002C7076"/>
    <w:rsid w:val="002D1F61"/>
    <w:rsid w:val="002D5B63"/>
    <w:rsid w:val="002D6E52"/>
    <w:rsid w:val="002E3710"/>
    <w:rsid w:val="002E4E66"/>
    <w:rsid w:val="002E7112"/>
    <w:rsid w:val="0030149D"/>
    <w:rsid w:val="00314159"/>
    <w:rsid w:val="003160FA"/>
    <w:rsid w:val="003212E5"/>
    <w:rsid w:val="0033320D"/>
    <w:rsid w:val="00336709"/>
    <w:rsid w:val="00343319"/>
    <w:rsid w:val="00350BE9"/>
    <w:rsid w:val="00350E0B"/>
    <w:rsid w:val="00362227"/>
    <w:rsid w:val="00362D91"/>
    <w:rsid w:val="0039299B"/>
    <w:rsid w:val="003A37B3"/>
    <w:rsid w:val="003A45FC"/>
    <w:rsid w:val="003A48C6"/>
    <w:rsid w:val="003B4951"/>
    <w:rsid w:val="003C3727"/>
    <w:rsid w:val="003C665C"/>
    <w:rsid w:val="003C685A"/>
    <w:rsid w:val="003D41CC"/>
    <w:rsid w:val="003D5AFA"/>
    <w:rsid w:val="003F7BA2"/>
    <w:rsid w:val="0040037A"/>
    <w:rsid w:val="00407A64"/>
    <w:rsid w:val="00421999"/>
    <w:rsid w:val="00445708"/>
    <w:rsid w:val="0045263B"/>
    <w:rsid w:val="00452B84"/>
    <w:rsid w:val="0045349D"/>
    <w:rsid w:val="0045561E"/>
    <w:rsid w:val="00455EE1"/>
    <w:rsid w:val="00456863"/>
    <w:rsid w:val="0046733E"/>
    <w:rsid w:val="00470258"/>
    <w:rsid w:val="004735F3"/>
    <w:rsid w:val="00492494"/>
    <w:rsid w:val="004A5EA5"/>
    <w:rsid w:val="004A6ABC"/>
    <w:rsid w:val="004B465F"/>
    <w:rsid w:val="004B514B"/>
    <w:rsid w:val="004D002C"/>
    <w:rsid w:val="004D3C31"/>
    <w:rsid w:val="004D3E59"/>
    <w:rsid w:val="004E0CEC"/>
    <w:rsid w:val="004E3AC4"/>
    <w:rsid w:val="004E6B2E"/>
    <w:rsid w:val="004F19F9"/>
    <w:rsid w:val="00505712"/>
    <w:rsid w:val="00521EA5"/>
    <w:rsid w:val="00532CA0"/>
    <w:rsid w:val="00533D96"/>
    <w:rsid w:val="005353F4"/>
    <w:rsid w:val="005432EE"/>
    <w:rsid w:val="00553F22"/>
    <w:rsid w:val="005544D3"/>
    <w:rsid w:val="005664C3"/>
    <w:rsid w:val="00577451"/>
    <w:rsid w:val="005924E2"/>
    <w:rsid w:val="00592B0F"/>
    <w:rsid w:val="005951F3"/>
    <w:rsid w:val="00596401"/>
    <w:rsid w:val="005A259F"/>
    <w:rsid w:val="005B0C58"/>
    <w:rsid w:val="005B1E17"/>
    <w:rsid w:val="005B3D95"/>
    <w:rsid w:val="005D1FF9"/>
    <w:rsid w:val="005D4FB7"/>
    <w:rsid w:val="005F213F"/>
    <w:rsid w:val="0060170A"/>
    <w:rsid w:val="00607622"/>
    <w:rsid w:val="00610D38"/>
    <w:rsid w:val="006164A1"/>
    <w:rsid w:val="006319B4"/>
    <w:rsid w:val="0064406A"/>
    <w:rsid w:val="00644241"/>
    <w:rsid w:val="0064511D"/>
    <w:rsid w:val="00653F04"/>
    <w:rsid w:val="00662D91"/>
    <w:rsid w:val="006674A1"/>
    <w:rsid w:val="00683526"/>
    <w:rsid w:val="006850A8"/>
    <w:rsid w:val="006868DF"/>
    <w:rsid w:val="00686DAC"/>
    <w:rsid w:val="0069451C"/>
    <w:rsid w:val="00697013"/>
    <w:rsid w:val="006A1854"/>
    <w:rsid w:val="006B509B"/>
    <w:rsid w:val="006B61F4"/>
    <w:rsid w:val="006C41AB"/>
    <w:rsid w:val="006D7AB5"/>
    <w:rsid w:val="006E2CA6"/>
    <w:rsid w:val="006E7217"/>
    <w:rsid w:val="007101D5"/>
    <w:rsid w:val="00716250"/>
    <w:rsid w:val="0071792B"/>
    <w:rsid w:val="00721825"/>
    <w:rsid w:val="00731A6C"/>
    <w:rsid w:val="00735016"/>
    <w:rsid w:val="00745878"/>
    <w:rsid w:val="0074602A"/>
    <w:rsid w:val="00770C9C"/>
    <w:rsid w:val="0077498A"/>
    <w:rsid w:val="0077727F"/>
    <w:rsid w:val="0079005D"/>
    <w:rsid w:val="0079363A"/>
    <w:rsid w:val="007B233B"/>
    <w:rsid w:val="007B410A"/>
    <w:rsid w:val="007B41EA"/>
    <w:rsid w:val="007B7B3B"/>
    <w:rsid w:val="007C7E83"/>
    <w:rsid w:val="007D462E"/>
    <w:rsid w:val="007F337C"/>
    <w:rsid w:val="007F57CD"/>
    <w:rsid w:val="0081296A"/>
    <w:rsid w:val="00815DC8"/>
    <w:rsid w:val="008217AF"/>
    <w:rsid w:val="00824459"/>
    <w:rsid w:val="00827C57"/>
    <w:rsid w:val="00833E7C"/>
    <w:rsid w:val="0084325D"/>
    <w:rsid w:val="00843FE8"/>
    <w:rsid w:val="00876402"/>
    <w:rsid w:val="008777BA"/>
    <w:rsid w:val="00882413"/>
    <w:rsid w:val="008C384B"/>
    <w:rsid w:val="008D1799"/>
    <w:rsid w:val="008D2E6D"/>
    <w:rsid w:val="008D3392"/>
    <w:rsid w:val="008E08C3"/>
    <w:rsid w:val="008E2617"/>
    <w:rsid w:val="009019FC"/>
    <w:rsid w:val="00902756"/>
    <w:rsid w:val="00916A7F"/>
    <w:rsid w:val="00916D71"/>
    <w:rsid w:val="00920FC8"/>
    <w:rsid w:val="00922C73"/>
    <w:rsid w:val="009237BF"/>
    <w:rsid w:val="0092651B"/>
    <w:rsid w:val="0093132C"/>
    <w:rsid w:val="00945360"/>
    <w:rsid w:val="00946059"/>
    <w:rsid w:val="00964B6A"/>
    <w:rsid w:val="00966AFC"/>
    <w:rsid w:val="00974A72"/>
    <w:rsid w:val="00975B64"/>
    <w:rsid w:val="00980FC7"/>
    <w:rsid w:val="0098696D"/>
    <w:rsid w:val="009878A4"/>
    <w:rsid w:val="00993416"/>
    <w:rsid w:val="00995EC5"/>
    <w:rsid w:val="009B1393"/>
    <w:rsid w:val="009B2AF5"/>
    <w:rsid w:val="009B3A1E"/>
    <w:rsid w:val="009B42F0"/>
    <w:rsid w:val="009C1C4B"/>
    <w:rsid w:val="009D6457"/>
    <w:rsid w:val="009F3F07"/>
    <w:rsid w:val="009F76E1"/>
    <w:rsid w:val="009F799F"/>
    <w:rsid w:val="00A0030B"/>
    <w:rsid w:val="00A035A9"/>
    <w:rsid w:val="00A0519D"/>
    <w:rsid w:val="00A15A37"/>
    <w:rsid w:val="00A22405"/>
    <w:rsid w:val="00A253C0"/>
    <w:rsid w:val="00A3547A"/>
    <w:rsid w:val="00A40308"/>
    <w:rsid w:val="00A666AD"/>
    <w:rsid w:val="00A667E2"/>
    <w:rsid w:val="00A90913"/>
    <w:rsid w:val="00AA0900"/>
    <w:rsid w:val="00AB76EB"/>
    <w:rsid w:val="00AC124E"/>
    <w:rsid w:val="00AD0004"/>
    <w:rsid w:val="00AD4EAB"/>
    <w:rsid w:val="00AE599B"/>
    <w:rsid w:val="00B109CF"/>
    <w:rsid w:val="00B11FA3"/>
    <w:rsid w:val="00B13F0F"/>
    <w:rsid w:val="00B2586B"/>
    <w:rsid w:val="00B25D70"/>
    <w:rsid w:val="00B27714"/>
    <w:rsid w:val="00B30318"/>
    <w:rsid w:val="00B33F7D"/>
    <w:rsid w:val="00B3521D"/>
    <w:rsid w:val="00B3619D"/>
    <w:rsid w:val="00B46D9E"/>
    <w:rsid w:val="00B51CDE"/>
    <w:rsid w:val="00B62211"/>
    <w:rsid w:val="00B80115"/>
    <w:rsid w:val="00B826E8"/>
    <w:rsid w:val="00B877B1"/>
    <w:rsid w:val="00B90546"/>
    <w:rsid w:val="00B92379"/>
    <w:rsid w:val="00BA151E"/>
    <w:rsid w:val="00BA4068"/>
    <w:rsid w:val="00BA4BC5"/>
    <w:rsid w:val="00BA62A5"/>
    <w:rsid w:val="00BB14B1"/>
    <w:rsid w:val="00BC1926"/>
    <w:rsid w:val="00BC2B0B"/>
    <w:rsid w:val="00BD00D9"/>
    <w:rsid w:val="00BD42E2"/>
    <w:rsid w:val="00BD6CF9"/>
    <w:rsid w:val="00BE5432"/>
    <w:rsid w:val="00C00902"/>
    <w:rsid w:val="00C05613"/>
    <w:rsid w:val="00C15233"/>
    <w:rsid w:val="00C3083E"/>
    <w:rsid w:val="00C34F68"/>
    <w:rsid w:val="00C40DD4"/>
    <w:rsid w:val="00C61A45"/>
    <w:rsid w:val="00C6302D"/>
    <w:rsid w:val="00C63F38"/>
    <w:rsid w:val="00C669B4"/>
    <w:rsid w:val="00C671AF"/>
    <w:rsid w:val="00C725C1"/>
    <w:rsid w:val="00C94749"/>
    <w:rsid w:val="00CA1CA7"/>
    <w:rsid w:val="00CD21B6"/>
    <w:rsid w:val="00CD31B8"/>
    <w:rsid w:val="00CD4664"/>
    <w:rsid w:val="00CD664D"/>
    <w:rsid w:val="00CE6A08"/>
    <w:rsid w:val="00CF04E9"/>
    <w:rsid w:val="00CF7BBC"/>
    <w:rsid w:val="00D04F1E"/>
    <w:rsid w:val="00D0710A"/>
    <w:rsid w:val="00D10A0B"/>
    <w:rsid w:val="00D11400"/>
    <w:rsid w:val="00D13FB4"/>
    <w:rsid w:val="00D258FC"/>
    <w:rsid w:val="00D337F8"/>
    <w:rsid w:val="00D3478D"/>
    <w:rsid w:val="00D50595"/>
    <w:rsid w:val="00D519BA"/>
    <w:rsid w:val="00D61DDC"/>
    <w:rsid w:val="00D71C8B"/>
    <w:rsid w:val="00D74DBF"/>
    <w:rsid w:val="00D9573F"/>
    <w:rsid w:val="00DA1300"/>
    <w:rsid w:val="00DA152E"/>
    <w:rsid w:val="00DA1AA8"/>
    <w:rsid w:val="00DA3F28"/>
    <w:rsid w:val="00DA661C"/>
    <w:rsid w:val="00DC3235"/>
    <w:rsid w:val="00DC45C2"/>
    <w:rsid w:val="00DD76CF"/>
    <w:rsid w:val="00DF0AA4"/>
    <w:rsid w:val="00DF50CF"/>
    <w:rsid w:val="00DF52D8"/>
    <w:rsid w:val="00DF6170"/>
    <w:rsid w:val="00DF62C2"/>
    <w:rsid w:val="00E033DF"/>
    <w:rsid w:val="00E15331"/>
    <w:rsid w:val="00E207CA"/>
    <w:rsid w:val="00E22F12"/>
    <w:rsid w:val="00E27A44"/>
    <w:rsid w:val="00E369D7"/>
    <w:rsid w:val="00E36A34"/>
    <w:rsid w:val="00E4209D"/>
    <w:rsid w:val="00E42F8B"/>
    <w:rsid w:val="00E50B8F"/>
    <w:rsid w:val="00E537A9"/>
    <w:rsid w:val="00E719AE"/>
    <w:rsid w:val="00E805C3"/>
    <w:rsid w:val="00E873AB"/>
    <w:rsid w:val="00E94641"/>
    <w:rsid w:val="00EB7AAC"/>
    <w:rsid w:val="00ED2187"/>
    <w:rsid w:val="00EE1958"/>
    <w:rsid w:val="00EE391E"/>
    <w:rsid w:val="00EE5D72"/>
    <w:rsid w:val="00EF73FE"/>
    <w:rsid w:val="00EF7E7E"/>
    <w:rsid w:val="00EF7F60"/>
    <w:rsid w:val="00F02499"/>
    <w:rsid w:val="00F04045"/>
    <w:rsid w:val="00F15560"/>
    <w:rsid w:val="00F168D4"/>
    <w:rsid w:val="00F253DF"/>
    <w:rsid w:val="00F304D4"/>
    <w:rsid w:val="00F30B12"/>
    <w:rsid w:val="00F31A91"/>
    <w:rsid w:val="00F31BF5"/>
    <w:rsid w:val="00F3528C"/>
    <w:rsid w:val="00F436DD"/>
    <w:rsid w:val="00F47A62"/>
    <w:rsid w:val="00F51DB5"/>
    <w:rsid w:val="00F55615"/>
    <w:rsid w:val="00F73ACD"/>
    <w:rsid w:val="00F8360E"/>
    <w:rsid w:val="00FB2DF2"/>
    <w:rsid w:val="00FC4F5D"/>
    <w:rsid w:val="00FC7309"/>
    <w:rsid w:val="00FC7C89"/>
    <w:rsid w:val="00FD0A75"/>
    <w:rsid w:val="00FD375B"/>
    <w:rsid w:val="00FD7623"/>
    <w:rsid w:val="00FD7B47"/>
    <w:rsid w:val="00FE05D1"/>
    <w:rsid w:val="00FE0865"/>
    <w:rsid w:val="00FE25A1"/>
    <w:rsid w:val="00FE4074"/>
    <w:rsid w:val="00FE5C64"/>
    <w:rsid w:val="00FE6C2A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40E5B0"/>
  <w15:docId w15:val="{3A54E176-1594-43FE-802E-0F09132E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A8"/>
  </w:style>
  <w:style w:type="paragraph" w:styleId="Ttulo1">
    <w:name w:val="heading 1"/>
    <w:basedOn w:val="Normal"/>
    <w:link w:val="Ttulo1Car"/>
    <w:uiPriority w:val="9"/>
    <w:qFormat/>
    <w:rsid w:val="00964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8E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03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33DF"/>
  </w:style>
  <w:style w:type="paragraph" w:styleId="Piedepgina">
    <w:name w:val="footer"/>
    <w:basedOn w:val="Normal"/>
    <w:link w:val="PiedepginaCar"/>
    <w:uiPriority w:val="99"/>
    <w:unhideWhenUsed/>
    <w:rsid w:val="00E033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33DF"/>
  </w:style>
  <w:style w:type="paragraph" w:styleId="Sinespaciado">
    <w:name w:val="No Spacing"/>
    <w:uiPriority w:val="1"/>
    <w:qFormat/>
    <w:rsid w:val="0018353B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1835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35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353B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53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B3A1E"/>
    <w:rPr>
      <w:color w:val="034638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407A64"/>
    <w:pPr>
      <w:widowControl w:val="0"/>
      <w:autoSpaceDE w:val="0"/>
      <w:autoSpaceDN w:val="0"/>
      <w:spacing w:after="0" w:line="240" w:lineRule="auto"/>
    </w:pPr>
    <w:rPr>
      <w:rFonts w:ascii="Mulish" w:eastAsia="Mulish" w:hAnsi="Mulish" w:cs="Mulish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07A64"/>
    <w:rPr>
      <w:rFonts w:ascii="Mulish" w:eastAsia="Mulish" w:hAnsi="Mulish" w:cs="Mulish"/>
      <w:sz w:val="20"/>
      <w:szCs w:val="20"/>
      <w:lang w:eastAsia="es-ES" w:bidi="es-ES"/>
    </w:rPr>
  </w:style>
  <w:style w:type="paragraph" w:styleId="Prrafodelista">
    <w:name w:val="List Paragraph"/>
    <w:basedOn w:val="Normal"/>
    <w:uiPriority w:val="34"/>
    <w:qFormat/>
    <w:rsid w:val="00BA4068"/>
    <w:pPr>
      <w:ind w:left="720"/>
      <w:contextualSpacing/>
    </w:pPr>
  </w:style>
  <w:style w:type="table" w:customStyle="1" w:styleId="Sombreadomedio2-nfasis32">
    <w:name w:val="Sombreado medio 2 - Énfasis 32"/>
    <w:basedOn w:val="Tablanormal"/>
    <w:next w:val="Sombreadomedio2-nfasis3"/>
    <w:uiPriority w:val="64"/>
    <w:rsid w:val="00BA4068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BA40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4C5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4C5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4C5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concuadrculaclara">
    <w:name w:val="Grid Table Light"/>
    <w:basedOn w:val="Tablanormal"/>
    <w:uiPriority w:val="40"/>
    <w:rsid w:val="00BA40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2">
    <w:name w:val="List Table 3 Accent 2"/>
    <w:basedOn w:val="Tablanormal"/>
    <w:uiPriority w:val="48"/>
    <w:rsid w:val="00EF73FE"/>
    <w:pPr>
      <w:spacing w:after="0" w:line="240" w:lineRule="auto"/>
    </w:pPr>
    <w:rPr>
      <w:lang w:eastAsia="es-ES"/>
    </w:rPr>
    <w:tblPr>
      <w:tblStyleRowBandSize w:val="1"/>
      <w:tblStyleColBandSize w:val="1"/>
      <w:tblBorders>
        <w:top w:val="single" w:sz="4" w:space="0" w:color="CB9700" w:themeColor="accent2"/>
        <w:left w:val="single" w:sz="4" w:space="0" w:color="CB9700" w:themeColor="accent2"/>
        <w:bottom w:val="single" w:sz="4" w:space="0" w:color="CB9700" w:themeColor="accent2"/>
        <w:right w:val="single" w:sz="4" w:space="0" w:color="CB97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9700" w:themeFill="accent2"/>
      </w:tcPr>
    </w:tblStylePr>
    <w:tblStylePr w:type="lastRow">
      <w:rPr>
        <w:b/>
        <w:bCs/>
      </w:rPr>
      <w:tblPr/>
      <w:tcPr>
        <w:tcBorders>
          <w:top w:val="double" w:sz="4" w:space="0" w:color="CB97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9700" w:themeColor="accent2"/>
          <w:right w:val="single" w:sz="4" w:space="0" w:color="CB9700" w:themeColor="accent2"/>
        </w:tcBorders>
      </w:tcPr>
    </w:tblStylePr>
    <w:tblStylePr w:type="band1Horz">
      <w:tblPr/>
      <w:tcPr>
        <w:tcBorders>
          <w:top w:val="single" w:sz="4" w:space="0" w:color="CB9700" w:themeColor="accent2"/>
          <w:bottom w:val="single" w:sz="4" w:space="0" w:color="CB97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9700" w:themeColor="accent2"/>
          <w:left w:val="nil"/>
        </w:tcBorders>
      </w:tcPr>
    </w:tblStylePr>
    <w:tblStylePr w:type="swCell">
      <w:tblPr/>
      <w:tcPr>
        <w:tcBorders>
          <w:top w:val="double" w:sz="4" w:space="0" w:color="CB9700" w:themeColor="accent2"/>
          <w:right w:val="nil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3A48C6"/>
    <w:pPr>
      <w:spacing w:after="0" w:line="240" w:lineRule="auto"/>
      <w:jc w:val="both"/>
    </w:pPr>
    <w:rPr>
      <w:rFonts w:ascii="Mulish" w:hAnsi="Mulish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48C6"/>
    <w:rPr>
      <w:rFonts w:ascii="Mulish" w:hAnsi="Mulish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48C6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69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69B4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77498A"/>
    <w:rPr>
      <w:color w:val="605E5C"/>
      <w:shd w:val="clear" w:color="auto" w:fill="E1DFDD"/>
    </w:rPr>
  </w:style>
  <w:style w:type="table" w:styleId="Tablaconcuadrcula4-nfasis2">
    <w:name w:val="Grid Table 4 Accent 2"/>
    <w:basedOn w:val="Tablanormal"/>
    <w:uiPriority w:val="49"/>
    <w:rsid w:val="00BA151E"/>
    <w:pPr>
      <w:spacing w:after="0" w:line="240" w:lineRule="auto"/>
    </w:pPr>
    <w:rPr>
      <w:lang w:eastAsia="es-ES"/>
    </w:rPr>
    <w:tblPr>
      <w:tblStyleRowBandSize w:val="1"/>
      <w:tblStyleColBandSize w:val="1"/>
      <w:tblBorders>
        <w:top w:val="single" w:sz="4" w:space="0" w:color="FFCF46" w:themeColor="accent2" w:themeTint="99"/>
        <w:left w:val="single" w:sz="4" w:space="0" w:color="FFCF46" w:themeColor="accent2" w:themeTint="99"/>
        <w:bottom w:val="single" w:sz="4" w:space="0" w:color="FFCF46" w:themeColor="accent2" w:themeTint="99"/>
        <w:right w:val="single" w:sz="4" w:space="0" w:color="FFCF46" w:themeColor="accent2" w:themeTint="99"/>
        <w:insideH w:val="single" w:sz="4" w:space="0" w:color="FFCF46" w:themeColor="accent2" w:themeTint="99"/>
        <w:insideV w:val="single" w:sz="4" w:space="0" w:color="FFCF4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9700" w:themeColor="accent2"/>
          <w:left w:val="single" w:sz="4" w:space="0" w:color="CB9700" w:themeColor="accent2"/>
          <w:bottom w:val="single" w:sz="4" w:space="0" w:color="CB9700" w:themeColor="accent2"/>
          <w:right w:val="single" w:sz="4" w:space="0" w:color="CB9700" w:themeColor="accent2"/>
          <w:insideH w:val="nil"/>
          <w:insideV w:val="nil"/>
        </w:tcBorders>
        <w:shd w:val="clear" w:color="auto" w:fill="CB9700" w:themeFill="accent2"/>
      </w:tcPr>
    </w:tblStylePr>
    <w:tblStylePr w:type="lastRow">
      <w:rPr>
        <w:b/>
        <w:bCs/>
      </w:rPr>
      <w:tblPr/>
      <w:tcPr>
        <w:tcBorders>
          <w:top w:val="double" w:sz="4" w:space="0" w:color="CB97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1" w:themeFill="accent2" w:themeFillTint="33"/>
      </w:tcPr>
    </w:tblStylePr>
    <w:tblStylePr w:type="band1Horz">
      <w:tblPr/>
      <w:tcPr>
        <w:shd w:val="clear" w:color="auto" w:fill="FFEFC1" w:themeFill="accent2" w:themeFillTint="33"/>
      </w:tcPr>
    </w:tblStylePr>
  </w:style>
  <w:style w:type="table" w:styleId="Tablaconcuadrcula4-nfasis4">
    <w:name w:val="Grid Table 4 Accent 4"/>
    <w:basedOn w:val="Tablanormal"/>
    <w:uiPriority w:val="49"/>
    <w:rsid w:val="00BA151E"/>
    <w:pPr>
      <w:spacing w:after="0" w:line="240" w:lineRule="auto"/>
    </w:pPr>
    <w:tblPr>
      <w:tblStyleRowBandSize w:val="1"/>
      <w:tblStyleColBandSize w:val="1"/>
      <w:tblBorders>
        <w:top w:val="single" w:sz="4" w:space="0" w:color="0AEDBD" w:themeColor="accent4" w:themeTint="99"/>
        <w:left w:val="single" w:sz="4" w:space="0" w:color="0AEDBD" w:themeColor="accent4" w:themeTint="99"/>
        <w:bottom w:val="single" w:sz="4" w:space="0" w:color="0AEDBD" w:themeColor="accent4" w:themeTint="99"/>
        <w:right w:val="single" w:sz="4" w:space="0" w:color="0AEDBD" w:themeColor="accent4" w:themeTint="99"/>
        <w:insideH w:val="single" w:sz="4" w:space="0" w:color="0AEDBD" w:themeColor="accent4" w:themeTint="99"/>
        <w:insideV w:val="single" w:sz="4" w:space="0" w:color="0AEDB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4638" w:themeColor="accent4"/>
          <w:left w:val="single" w:sz="4" w:space="0" w:color="034638" w:themeColor="accent4"/>
          <w:bottom w:val="single" w:sz="4" w:space="0" w:color="034638" w:themeColor="accent4"/>
          <w:right w:val="single" w:sz="4" w:space="0" w:color="034638" w:themeColor="accent4"/>
          <w:insideH w:val="nil"/>
          <w:insideV w:val="nil"/>
        </w:tcBorders>
        <w:shd w:val="clear" w:color="auto" w:fill="034638" w:themeFill="accent4"/>
      </w:tcPr>
    </w:tblStylePr>
    <w:tblStylePr w:type="lastRow">
      <w:rPr>
        <w:b/>
        <w:bCs/>
      </w:rPr>
      <w:tblPr/>
      <w:tcPr>
        <w:tcBorders>
          <w:top w:val="double" w:sz="4" w:space="0" w:color="0346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BEA" w:themeFill="accent4" w:themeFillTint="33"/>
      </w:tcPr>
    </w:tblStylePr>
    <w:tblStylePr w:type="band1Horz">
      <w:tblPr/>
      <w:tcPr>
        <w:shd w:val="clear" w:color="auto" w:fill="AAFBEA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BA151E"/>
    <w:pPr>
      <w:spacing w:after="0" w:line="240" w:lineRule="auto"/>
    </w:pPr>
    <w:tblPr>
      <w:tblStyleRowBandSize w:val="1"/>
      <w:tblStyleColBandSize w:val="1"/>
      <w:tblBorders>
        <w:top w:val="single" w:sz="4" w:space="0" w:color="5AA3BD" w:themeColor="accent3" w:themeTint="99"/>
        <w:left w:val="single" w:sz="4" w:space="0" w:color="5AA3BD" w:themeColor="accent3" w:themeTint="99"/>
        <w:bottom w:val="single" w:sz="4" w:space="0" w:color="5AA3BD" w:themeColor="accent3" w:themeTint="99"/>
        <w:right w:val="single" w:sz="4" w:space="0" w:color="5AA3BD" w:themeColor="accent3" w:themeTint="99"/>
        <w:insideH w:val="single" w:sz="4" w:space="0" w:color="5AA3BD" w:themeColor="accent3" w:themeTint="99"/>
        <w:insideV w:val="single" w:sz="4" w:space="0" w:color="5AA3B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4C5A" w:themeColor="accent3"/>
          <w:left w:val="single" w:sz="4" w:space="0" w:color="244C5A" w:themeColor="accent3"/>
          <w:bottom w:val="single" w:sz="4" w:space="0" w:color="244C5A" w:themeColor="accent3"/>
          <w:right w:val="single" w:sz="4" w:space="0" w:color="244C5A" w:themeColor="accent3"/>
          <w:insideH w:val="nil"/>
          <w:insideV w:val="nil"/>
        </w:tcBorders>
        <w:shd w:val="clear" w:color="auto" w:fill="244C5A" w:themeFill="accent3"/>
      </w:tcPr>
    </w:tblStylePr>
    <w:tblStylePr w:type="lastRow">
      <w:rPr>
        <w:b/>
        <w:bCs/>
      </w:rPr>
      <w:tblPr/>
      <w:tcPr>
        <w:tcBorders>
          <w:top w:val="double" w:sz="4" w:space="0" w:color="244C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0E9" w:themeFill="accent3" w:themeFillTint="33"/>
      </w:tcPr>
    </w:tblStylePr>
    <w:tblStylePr w:type="band1Horz">
      <w:tblPr/>
      <w:tcPr>
        <w:shd w:val="clear" w:color="auto" w:fill="C8E0E9" w:themeFill="accent3" w:themeFillTint="33"/>
      </w:tcPr>
    </w:tblStylePr>
  </w:style>
  <w:style w:type="paragraph" w:styleId="Revisin">
    <w:name w:val="Revision"/>
    <w:hidden/>
    <w:uiPriority w:val="99"/>
    <w:semiHidden/>
    <w:rsid w:val="00E719AE"/>
    <w:pPr>
      <w:spacing w:after="0" w:line="240" w:lineRule="auto"/>
    </w:pPr>
  </w:style>
  <w:style w:type="table" w:customStyle="1" w:styleId="Tablaconcuadrcula4-nfasis21">
    <w:name w:val="Tabla con cuadrícula 4 - Énfasis 21"/>
    <w:basedOn w:val="Tablanormal"/>
    <w:next w:val="Tablaconcuadrcula4-nfasis2"/>
    <w:uiPriority w:val="49"/>
    <w:rsid w:val="00F8360E"/>
    <w:pPr>
      <w:spacing w:after="0" w:line="240" w:lineRule="auto"/>
    </w:pPr>
    <w:rPr>
      <w:rFonts w:ascii="Georgia" w:hAnsi="Georgia"/>
      <w:lang w:eastAsia="es-ES"/>
    </w:rPr>
    <w:tblPr>
      <w:tblStyleRowBandSize w:val="1"/>
      <w:tblStyleColBandSize w:val="1"/>
      <w:tblBorders>
        <w:top w:val="single" w:sz="4" w:space="0" w:color="83BBC1"/>
        <w:left w:val="single" w:sz="4" w:space="0" w:color="83BBC1"/>
        <w:bottom w:val="single" w:sz="4" w:space="0" w:color="83BBC1"/>
        <w:right w:val="single" w:sz="4" w:space="0" w:color="83BBC1"/>
        <w:insideH w:val="single" w:sz="4" w:space="0" w:color="83BBC1"/>
        <w:insideV w:val="single" w:sz="4" w:space="0" w:color="83BBC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38086"/>
          <w:left w:val="single" w:sz="4" w:space="0" w:color="438086"/>
          <w:bottom w:val="single" w:sz="4" w:space="0" w:color="438086"/>
          <w:right w:val="single" w:sz="4" w:space="0" w:color="438086"/>
          <w:insideH w:val="nil"/>
          <w:insideV w:val="nil"/>
        </w:tcBorders>
        <w:shd w:val="clear" w:color="auto" w:fill="438086"/>
      </w:tcPr>
    </w:tblStylePr>
    <w:tblStylePr w:type="lastRow">
      <w:rPr>
        <w:b/>
        <w:bCs/>
      </w:rPr>
      <w:tblPr/>
      <w:tcPr>
        <w:tcBorders>
          <w:top w:val="double" w:sz="4" w:space="0" w:color="43808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8EA"/>
      </w:tcPr>
    </w:tblStylePr>
    <w:tblStylePr w:type="band1Horz">
      <w:tblPr/>
      <w:tcPr>
        <w:shd w:val="clear" w:color="auto" w:fill="D5E8EA"/>
      </w:tcPr>
    </w:tblStylePr>
  </w:style>
  <w:style w:type="paragraph" w:styleId="NormalWeb">
    <w:name w:val="Normal (Web)"/>
    <w:basedOn w:val="Normal"/>
    <w:uiPriority w:val="99"/>
    <w:semiHidden/>
    <w:unhideWhenUsed/>
    <w:rsid w:val="00C67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671A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64B6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e0384c81">
    <w:name w:val="e0384c81"/>
    <w:basedOn w:val="Fuentedeprrafopredeter"/>
    <w:rsid w:val="003A37B3"/>
  </w:style>
  <w:style w:type="character" w:styleId="Hipervnculovisitado">
    <w:name w:val="FollowedHyperlink"/>
    <w:basedOn w:val="Fuentedeprrafopredeter"/>
    <w:uiPriority w:val="99"/>
    <w:semiHidden/>
    <w:unhideWhenUsed/>
    <w:rsid w:val="007B7B3B"/>
    <w:rPr>
      <w:color w:val="CB97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consejodetransparencia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tbg@consejodetransparencia.es" TargetMode="External"/><Relationship Id="rId1" Type="http://schemas.openxmlformats.org/officeDocument/2006/relationships/hyperlink" Target="mailto:ctbg@consejodetransparenc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rgbClr val="0C0C0C"/>
      </a:dk1>
      <a:lt1>
        <a:sysClr val="window" lastClr="FFFFFF"/>
      </a:lt1>
      <a:dk2>
        <a:srgbClr val="00806F"/>
      </a:dk2>
      <a:lt2>
        <a:srgbClr val="D6D2C4"/>
      </a:lt2>
      <a:accent1>
        <a:srgbClr val="00806F"/>
      </a:accent1>
      <a:accent2>
        <a:srgbClr val="CB9700"/>
      </a:accent2>
      <a:accent3>
        <a:srgbClr val="244C5A"/>
      </a:accent3>
      <a:accent4>
        <a:srgbClr val="034638"/>
      </a:accent4>
      <a:accent5>
        <a:srgbClr val="00806F"/>
      </a:accent5>
      <a:accent6>
        <a:srgbClr val="034638"/>
      </a:accent6>
      <a:hlink>
        <a:srgbClr val="034638"/>
      </a:hlink>
      <a:folHlink>
        <a:srgbClr val="CB97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5FD049-96EB-4473-A8A5-C7F6FF3C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971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FJAD</dc:creator>
  <cp:lastModifiedBy>PILAR</cp:lastModifiedBy>
  <cp:revision>4</cp:revision>
  <cp:lastPrinted>2016-01-05T09:13:00Z</cp:lastPrinted>
  <dcterms:created xsi:type="dcterms:W3CDTF">2026-07-29T11:24:00Z</dcterms:created>
  <dcterms:modified xsi:type="dcterms:W3CDTF">2026-07-29T11:25:00Z</dcterms:modified>
</cp:coreProperties>
</file>