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D" w:rsidRPr="006F17B5" w:rsidRDefault="003F38BD">
      <w:pPr>
        <w:rPr>
          <w:rFonts w:asciiTheme="minorHAnsi" w:hAnsiTheme="minorHAnsi" w:cstheme="minorHAnsi"/>
          <w:szCs w:val="24"/>
        </w:rPr>
      </w:pPr>
    </w:p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0A1EFB">
        <w:t xml:space="preserve">LA COMUNIDAD AUTÓNOMA DE </w:t>
      </w:r>
      <w:r w:rsidR="008E090E">
        <w:t>MADRID</w:t>
      </w:r>
      <w:r w:rsidR="000A1EFB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6F17B5" w:rsidRPr="00991DC8" w:rsidRDefault="006F17B5" w:rsidP="00C4559C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991DC8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0A1EFB" w:rsidRPr="00991DC8">
        <w:rPr>
          <w:rFonts w:asciiTheme="minorHAnsi" w:hAnsiTheme="minorHAnsi" w:cstheme="minorHAnsi"/>
          <w:szCs w:val="24"/>
        </w:rPr>
        <w:t xml:space="preserve">la Comunidad Autónoma de </w:t>
      </w:r>
      <w:r w:rsidR="005C22BA">
        <w:rPr>
          <w:rFonts w:asciiTheme="minorHAnsi" w:hAnsiTheme="minorHAnsi" w:cstheme="minorHAnsi"/>
          <w:szCs w:val="24"/>
        </w:rPr>
        <w:t>Madrid</w:t>
      </w:r>
      <w:r w:rsidR="000A1EFB" w:rsidRPr="00991DC8">
        <w:rPr>
          <w:rFonts w:asciiTheme="minorHAnsi" w:hAnsiTheme="minorHAnsi" w:cstheme="minorHAnsi"/>
          <w:szCs w:val="24"/>
        </w:rPr>
        <w:t xml:space="preserve"> </w:t>
      </w:r>
      <w:r w:rsidRPr="00991DC8">
        <w:rPr>
          <w:rFonts w:asciiTheme="minorHAnsi" w:hAnsiTheme="minorHAnsi" w:cstheme="minorHAnsi"/>
          <w:szCs w:val="24"/>
        </w:rPr>
        <w:t xml:space="preserve">al borrador de informe de evaluación en relación con la revisión del cumplimiento de las obligaciones de publicidad activa por parte de </w:t>
      </w:r>
      <w:r w:rsidR="00C4559C">
        <w:rPr>
          <w:rFonts w:asciiTheme="minorHAnsi" w:hAnsiTheme="minorHAnsi" w:cstheme="minorHAnsi"/>
          <w:szCs w:val="24"/>
        </w:rPr>
        <w:t>esa Administración</w:t>
      </w:r>
      <w:r w:rsidRPr="00991DC8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5C22BA" w:rsidRDefault="005C22BA" w:rsidP="00C4559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 acepta la inclusión y se cambia la valoración del cumplimiento de las informaciones obligatorias que se relacionan a continuación, dado que las modificaciones realizadas por la Comunidad de Madrid se han realizado dentro del periodo de alegaciones al borrador de informe de evaluación</w:t>
      </w:r>
      <w:r w:rsidR="00500149">
        <w:rPr>
          <w:rFonts w:asciiTheme="minorHAnsi" w:hAnsiTheme="minorHAnsi" w:cstheme="minorHAnsi"/>
          <w:b/>
          <w:szCs w:val="24"/>
        </w:rPr>
        <w:t xml:space="preserve"> o se trata de información no localizada en el momento de la evaluación</w:t>
      </w:r>
      <w:r>
        <w:rPr>
          <w:rFonts w:asciiTheme="minorHAnsi" w:hAnsiTheme="minorHAnsi" w:cstheme="minorHAnsi"/>
          <w:b/>
          <w:szCs w:val="24"/>
        </w:rPr>
        <w:t>:</w:t>
      </w:r>
    </w:p>
    <w:p w:rsidR="005C22BA" w:rsidRDefault="005C22BA" w:rsidP="005C22B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publicación de la normativa que con carácter general regula las competencias, funciones  y actividades de la CAM.</w:t>
      </w:r>
    </w:p>
    <w:p w:rsidR="00424D6E" w:rsidRDefault="00424D6E" w:rsidP="005C22B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publicación del organigrama.</w:t>
      </w:r>
    </w:p>
    <w:p w:rsidR="005340CF" w:rsidRDefault="005340CF" w:rsidP="005C22B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 datación de la estructura organizativa, de la identificación y </w:t>
      </w:r>
      <w:r w:rsidR="00500149">
        <w:rPr>
          <w:rFonts w:asciiTheme="minorHAnsi" w:hAnsiTheme="minorHAnsi" w:cstheme="minorHAnsi"/>
          <w:szCs w:val="24"/>
        </w:rPr>
        <w:t xml:space="preserve">del </w:t>
      </w:r>
      <w:r>
        <w:rPr>
          <w:rFonts w:asciiTheme="minorHAnsi" w:hAnsiTheme="minorHAnsi" w:cstheme="minorHAnsi"/>
          <w:szCs w:val="24"/>
        </w:rPr>
        <w:t>perfil y trayectoria profesional de los máximos responsables.</w:t>
      </w:r>
    </w:p>
    <w:p w:rsidR="005340CF" w:rsidRDefault="005340CF" w:rsidP="005C22B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inclusión en el acceso “Transparencia en la Comunidad de Madrid” de un enlace al Registro de Actividades de Tratamiento.</w:t>
      </w:r>
    </w:p>
    <w:p w:rsidR="006218A4" w:rsidRDefault="006A6110" w:rsidP="005C22B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inclusión de información relativa a modificaciones en los convenios de colaboración que no había sido localizada por este Consejo cuando se efectuó la evaluación.</w:t>
      </w:r>
    </w:p>
    <w:p w:rsidR="00DF782C" w:rsidRPr="005C22BA" w:rsidRDefault="00DF782C" w:rsidP="005C22B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información relativa a las indemnizaciones percibidas por altos cargos con ocasión del cese que no había sido localizada cuando se efectuó la evaluación.</w:t>
      </w:r>
    </w:p>
    <w:p w:rsidR="00AA39FF" w:rsidRDefault="00AA39FF" w:rsidP="00C4559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No se ha podido acceder a las siguientes informaciones por no encontrarse operativo o dar error el enlace remitido por la CAM en su informe de observaciones</w:t>
      </w:r>
      <w:r w:rsidR="005340CF">
        <w:rPr>
          <w:rFonts w:asciiTheme="minorHAnsi" w:hAnsiTheme="minorHAnsi" w:cstheme="minorHAnsi"/>
          <w:b/>
          <w:szCs w:val="24"/>
        </w:rPr>
        <w:t>:</w:t>
      </w:r>
    </w:p>
    <w:p w:rsidR="002E240D" w:rsidRDefault="002E240D" w:rsidP="005340CF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2E240D">
        <w:rPr>
          <w:rFonts w:asciiTheme="minorHAnsi" w:hAnsiTheme="minorHAnsi" w:cstheme="minorHAnsi"/>
          <w:szCs w:val="24"/>
        </w:rPr>
        <w:t xml:space="preserve">El enlace </w:t>
      </w:r>
      <w:r>
        <w:rPr>
          <w:rFonts w:asciiTheme="minorHAnsi" w:hAnsiTheme="minorHAnsi" w:cstheme="minorHAnsi"/>
          <w:szCs w:val="24"/>
        </w:rPr>
        <w:t>a las respuestas a consultas de particulares y otros órganos que surtan efectos jurídicos</w:t>
      </w:r>
      <w:r w:rsidR="006218A4">
        <w:rPr>
          <w:rFonts w:asciiTheme="minorHAnsi" w:hAnsiTheme="minorHAnsi" w:cstheme="minorHAnsi"/>
          <w:szCs w:val="24"/>
        </w:rPr>
        <w:t>, aunque se modifica el informe de evaluación dado que la denominación de los enlaces permite conocer el contenido de la información a la que dan acceso</w:t>
      </w:r>
      <w:r>
        <w:rPr>
          <w:rFonts w:asciiTheme="minorHAnsi" w:hAnsiTheme="minorHAnsi" w:cstheme="minorHAnsi"/>
          <w:szCs w:val="24"/>
        </w:rPr>
        <w:t xml:space="preserve">. </w:t>
      </w:r>
    </w:p>
    <w:p w:rsidR="002E240D" w:rsidRPr="002E240D" w:rsidRDefault="002E240D" w:rsidP="002E240D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FF"/>
          <w:sz w:val="22"/>
        </w:rPr>
      </w:pPr>
      <w:r w:rsidRPr="002E240D">
        <w:rPr>
          <w:rFonts w:ascii="Arial" w:hAnsi="Arial" w:cs="Arial"/>
          <w:color w:val="0000FF"/>
          <w:sz w:val="22"/>
        </w:rPr>
        <w:lastRenderedPageBreak/>
        <w:t>https://www.comunidad.madrid/transparencia/normativa/acta-reunion-del-grupo-trabajoseguimiento-aplicacion-del-rebt-rd8422002-y-orden-10</w:t>
      </w:r>
    </w:p>
    <w:p w:rsidR="002E240D" w:rsidRPr="006218A4" w:rsidRDefault="002E240D" w:rsidP="002E240D">
      <w:pPr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theme="minorHAnsi"/>
          <w:sz w:val="22"/>
        </w:rPr>
      </w:pPr>
      <w:r w:rsidRPr="002E240D">
        <w:rPr>
          <w:rFonts w:ascii="Arial" w:hAnsi="Arial" w:cs="Arial"/>
          <w:color w:val="0000FF"/>
          <w:sz w:val="22"/>
        </w:rPr>
        <w:t>https://www.comunidad.madrid/transparencia/normativa/informe-regimen-compatibilidadesempleados</w:t>
      </w:r>
      <w:r w:rsidRPr="002E240D">
        <w:rPr>
          <w:rFonts w:ascii="Arial" w:hAnsi="Arial" w:cs="Arial"/>
          <w:color w:val="0000FF"/>
        </w:rPr>
        <w:t>-</w:t>
      </w:r>
      <w:r w:rsidRPr="006218A4">
        <w:rPr>
          <w:rFonts w:ascii="Arial" w:hAnsi="Arial" w:cs="Arial"/>
          <w:color w:val="0000FF"/>
          <w:sz w:val="22"/>
        </w:rPr>
        <w:t>del-sermas</w:t>
      </w:r>
    </w:p>
    <w:p w:rsidR="002E240D" w:rsidRPr="006F1699" w:rsidRDefault="006218A4" w:rsidP="002E240D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6F1699">
        <w:rPr>
          <w:rFonts w:asciiTheme="minorHAnsi" w:hAnsiTheme="minorHAnsi" w:cstheme="minorHAnsi"/>
          <w:szCs w:val="24"/>
        </w:rPr>
        <w:t xml:space="preserve">Los enlaces a los contratos con </w:t>
      </w:r>
      <w:r w:rsidR="006F1699" w:rsidRPr="006F1699">
        <w:rPr>
          <w:rFonts w:asciiTheme="minorHAnsi" w:hAnsiTheme="minorHAnsi" w:cstheme="minorHAnsi"/>
          <w:szCs w:val="24"/>
        </w:rPr>
        <w:t xml:space="preserve">incidencias (desistimientos o renuncias), no obstante se modifica la valoración de esta </w:t>
      </w:r>
      <w:r w:rsidR="006F1699">
        <w:rPr>
          <w:rFonts w:asciiTheme="minorHAnsi" w:hAnsiTheme="minorHAnsi" w:cstheme="minorHAnsi"/>
          <w:szCs w:val="24"/>
        </w:rPr>
        <w:t>obligación</w:t>
      </w:r>
    </w:p>
    <w:p w:rsidR="006F1699" w:rsidRPr="006A6110" w:rsidRDefault="006F1699" w:rsidP="006A6110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FF"/>
          <w:sz w:val="22"/>
        </w:rPr>
      </w:pPr>
      <w:r w:rsidRPr="006A6110">
        <w:rPr>
          <w:rFonts w:ascii="Arial" w:hAnsi="Arial" w:cs="Arial"/>
          <w:color w:val="0000FF"/>
          <w:sz w:val="22"/>
        </w:rPr>
        <w:t>http://www.madrid.org/cs/Satellite?c=CM_ConvocaPrestac_FA&amp;cid=1354410727740&amp;definicion=Contratos+Publicos&amp;idPagina=1224915242285&amp;language=es&amp;op2=PCON&amp;pagename=PortalContratacion%2FPage%2FPCON_contratosPublicos&amp;tipoServicio=CM_ConvocaPrestac_FA</w:t>
      </w:r>
    </w:p>
    <w:p w:rsidR="006F1699" w:rsidRPr="006A6110" w:rsidRDefault="006F1699" w:rsidP="006A6110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FF"/>
          <w:sz w:val="22"/>
        </w:rPr>
      </w:pPr>
      <w:r w:rsidRPr="006A6110">
        <w:rPr>
          <w:rFonts w:ascii="Arial" w:hAnsi="Arial" w:cs="Arial"/>
          <w:color w:val="0000FF"/>
          <w:sz w:val="22"/>
        </w:rPr>
        <w:t>http://www.madrid.org/cs/Satellite?c=CM_ConvocaPrestac_FA&amp;cid=1354185277308&amp;definicion=Contratos+Publicos&amp;idPagina=1224915242285&amp;language=es&amp;op2=PCON&amp;pagename=PortalContratacion%2FPage%2FPCON_contratosPublicos&amp;tipoServicio=CM_ConvocaPrestac_FA</w:t>
      </w:r>
    </w:p>
    <w:p w:rsidR="006F1699" w:rsidRPr="006A6110" w:rsidRDefault="006F1699" w:rsidP="006A6110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FF"/>
          <w:sz w:val="22"/>
        </w:rPr>
      </w:pPr>
      <w:r w:rsidRPr="006A6110">
        <w:rPr>
          <w:rFonts w:ascii="Arial" w:hAnsi="Arial" w:cs="Arial"/>
          <w:color w:val="0000FF"/>
          <w:sz w:val="22"/>
        </w:rPr>
        <w:t>http://www.madrid.org/cs/Satellite?c=CM_ConvocaPrestac_FA&amp;cid=1142676628059&amp;definicion=Contratos+Publicos&amp;idPagina=1224915242285&amp;language=es&amp;op2=PCON&amp;pagename=PortalContratacion%2FPage%2FPCON_contratosPublicos&amp;tipoServicio=CM_ConvocaPrestac_FA</w:t>
      </w:r>
    </w:p>
    <w:p w:rsidR="006F1699" w:rsidRDefault="006A6110" w:rsidP="002E240D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6A6110">
        <w:rPr>
          <w:rFonts w:asciiTheme="minorHAnsi" w:hAnsiTheme="minorHAnsi" w:cstheme="minorHAnsi"/>
          <w:szCs w:val="24"/>
        </w:rPr>
        <w:t xml:space="preserve">La información relativa a </w:t>
      </w:r>
      <w:r>
        <w:rPr>
          <w:rFonts w:asciiTheme="minorHAnsi" w:hAnsiTheme="minorHAnsi" w:cstheme="minorHAnsi"/>
          <w:szCs w:val="24"/>
        </w:rPr>
        <w:t>las subcontrataciones derivadas de la encomiendas de gestión.</w:t>
      </w:r>
      <w:r w:rsidR="00F11D14">
        <w:rPr>
          <w:rFonts w:asciiTheme="minorHAnsi" w:hAnsiTheme="minorHAnsi" w:cstheme="minorHAnsi"/>
          <w:szCs w:val="24"/>
        </w:rPr>
        <w:t xml:space="preserve"> No obstante se modifica la valoración del cumplimiento de esta obligación ya que se ha localiza</w:t>
      </w:r>
      <w:r w:rsidR="00027C45">
        <w:rPr>
          <w:rFonts w:asciiTheme="minorHAnsi" w:hAnsiTheme="minorHAnsi" w:cstheme="minorHAnsi"/>
          <w:szCs w:val="24"/>
        </w:rPr>
        <w:t>do</w:t>
      </w:r>
      <w:r w:rsidR="00F11D14">
        <w:rPr>
          <w:rFonts w:asciiTheme="minorHAnsi" w:hAnsiTheme="minorHAnsi" w:cstheme="minorHAnsi"/>
          <w:szCs w:val="24"/>
        </w:rPr>
        <w:t xml:space="preserve"> la información en el link medios propios del enlace contratos. </w:t>
      </w:r>
    </w:p>
    <w:p w:rsidR="006A6110" w:rsidRPr="006A6110" w:rsidRDefault="006A6110" w:rsidP="006A6110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FF"/>
          <w:sz w:val="22"/>
        </w:rPr>
      </w:pPr>
      <w:r w:rsidRPr="006A6110">
        <w:rPr>
          <w:rFonts w:ascii="Arial" w:hAnsi="Arial" w:cs="Arial"/>
          <w:color w:val="0000FF"/>
          <w:sz w:val="22"/>
        </w:rPr>
        <w:t>http://www.madrid.org/cs/Satellite?c=CM_ConvocaPrestac_FA&amp;cid=1354828036325&amp;definicion=Contratos+Publicos&amp;idPagina=1224915242285&amp;language=es&amp;op2=PCON&amp;pagename=PortalContratacion%2FPage%2FPCON_contratosPublicos&amp;tipoServicio=CM_ConvocaPrestac_FA</w:t>
      </w:r>
    </w:p>
    <w:p w:rsidR="006A6110" w:rsidRPr="006A6110" w:rsidRDefault="006A6110" w:rsidP="006A6110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FF"/>
          <w:sz w:val="22"/>
        </w:rPr>
      </w:pPr>
      <w:r w:rsidRPr="006A6110">
        <w:rPr>
          <w:rFonts w:ascii="Arial" w:hAnsi="Arial" w:cs="Arial"/>
          <w:color w:val="0000FF"/>
          <w:sz w:val="22"/>
        </w:rPr>
        <w:t>http://www.madrid.org/cs/Satellite?c=CM_ConvocaPrestac_FA&amp;cid=1354777694979&amp;definicion=Contratos+Publicos&amp;idPagina=1224915242285&amp;language=es&amp;op2=PCON&amp;pagename=PortalContratacion%2FPage%2FPCON_contratosPublicos&amp;tipoServicio=CM_ConvocaPrestac_FA</w:t>
      </w:r>
    </w:p>
    <w:p w:rsidR="006A6110" w:rsidRDefault="00424D6E" w:rsidP="006A6110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FF"/>
          <w:sz w:val="22"/>
        </w:rPr>
      </w:pPr>
      <w:hyperlink r:id="rId8" w:history="1">
        <w:r w:rsidR="00027C45" w:rsidRPr="00B9259E">
          <w:rPr>
            <w:rStyle w:val="Hipervnculo"/>
            <w:rFonts w:ascii="Arial" w:hAnsi="Arial" w:cs="Arial"/>
            <w:sz w:val="22"/>
          </w:rPr>
          <w:t>http://www.madrid.org/cs/Satellite?c=CM_ConvocaPrestac_FA&amp;cid=1354833125554&amp;definicion=Contratos+Publicos&amp;idPagina=1224915242285&amp;language=es&amp;op2=PCON&amp;pagename=PortalContratacion%2FPage%2FPCON_contratosPublicos&amp;tipoServicio=CM_ConvocaPrestac_FA</w:t>
        </w:r>
      </w:hyperlink>
    </w:p>
    <w:p w:rsidR="00027C45" w:rsidRDefault="00027C45" w:rsidP="006A6110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FF"/>
          <w:sz w:val="22"/>
        </w:rPr>
      </w:pPr>
    </w:p>
    <w:p w:rsidR="00027C45" w:rsidRPr="000B51EC" w:rsidRDefault="000B51EC" w:rsidP="000B51EC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Las siguientes ilustraciones muestran las pantallas que devuelve la web de la CAM cuando se “pincha” en el enlace correspondiente.</w:t>
      </w:r>
      <w:r w:rsidRPr="000B51EC">
        <w:rPr>
          <w:rFonts w:asciiTheme="minorHAnsi" w:hAnsiTheme="minorHAnsi" w:cstheme="minorHAnsi"/>
          <w:sz w:val="22"/>
        </w:rPr>
        <w:t xml:space="preserve"> </w:t>
      </w:r>
    </w:p>
    <w:p w:rsidR="00027C45" w:rsidRPr="000B51EC" w:rsidRDefault="00027C45" w:rsidP="006A6110">
      <w:pPr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theme="minorHAnsi"/>
          <w:sz w:val="22"/>
        </w:rPr>
      </w:pPr>
    </w:p>
    <w:p w:rsidR="006A6110" w:rsidRPr="006A6110" w:rsidRDefault="006A6110" w:rsidP="006A6110">
      <w:pPr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theme="minorHAnsi"/>
          <w:sz w:val="22"/>
        </w:rPr>
      </w:pPr>
    </w:p>
    <w:p w:rsidR="005340CF" w:rsidRPr="006A6110" w:rsidRDefault="005340CF" w:rsidP="005340C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4"/>
        </w:rPr>
      </w:pPr>
    </w:p>
    <w:p w:rsidR="005340CF" w:rsidRDefault="005340CF" w:rsidP="00500149">
      <w:pPr>
        <w:pStyle w:val="Prrafodelista"/>
        <w:autoSpaceDE w:val="0"/>
        <w:autoSpaceDN w:val="0"/>
        <w:adjustRightInd w:val="0"/>
        <w:spacing w:before="120" w:after="120" w:line="312" w:lineRule="auto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25DB02BA" wp14:editId="27660ED5">
            <wp:extent cx="5612130" cy="1630045"/>
            <wp:effectExtent l="0" t="0" r="762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0CF" w:rsidRDefault="005340CF" w:rsidP="006218A4">
      <w:pPr>
        <w:pStyle w:val="Prrafodelista"/>
        <w:autoSpaceDE w:val="0"/>
        <w:autoSpaceDN w:val="0"/>
        <w:adjustRightInd w:val="0"/>
        <w:spacing w:before="120" w:after="120" w:line="312" w:lineRule="auto"/>
        <w:ind w:left="1440"/>
        <w:contextualSpacing w:val="0"/>
        <w:jc w:val="both"/>
        <w:rPr>
          <w:rFonts w:asciiTheme="minorHAnsi" w:hAnsiTheme="minorHAnsi" w:cstheme="minorHAnsi"/>
          <w:b/>
          <w:szCs w:val="24"/>
        </w:rPr>
      </w:pPr>
    </w:p>
    <w:p w:rsidR="006218A4" w:rsidRDefault="006218A4" w:rsidP="00500149">
      <w:pPr>
        <w:pStyle w:val="Prrafodelista"/>
        <w:autoSpaceDE w:val="0"/>
        <w:autoSpaceDN w:val="0"/>
        <w:adjustRightInd w:val="0"/>
        <w:spacing w:before="120" w:after="120" w:line="312" w:lineRule="auto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>
        <w:rPr>
          <w:noProof/>
          <w:lang w:eastAsia="es-ES"/>
        </w:rPr>
        <w:drawing>
          <wp:inline distT="0" distB="0" distL="0" distR="0" wp14:anchorId="553FCFDC" wp14:editId="10A587F7">
            <wp:extent cx="5612130" cy="1045845"/>
            <wp:effectExtent l="0" t="0" r="762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82C" w:rsidRDefault="00DF782C" w:rsidP="00C4559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No se aceptan las siguientes observaciones:</w:t>
      </w:r>
    </w:p>
    <w:p w:rsidR="000A1EFB" w:rsidRDefault="00DF782C" w:rsidP="00DF782C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DF782C">
        <w:rPr>
          <w:rFonts w:asciiTheme="minorHAnsi" w:hAnsiTheme="minorHAnsi" w:cstheme="minorHAnsi"/>
          <w:szCs w:val="24"/>
        </w:rPr>
        <w:t>La información relativa a las compatibilidades para el ejercicio de actividades privadas al ces</w:t>
      </w:r>
      <w:r w:rsidR="00027C45">
        <w:rPr>
          <w:rFonts w:asciiTheme="minorHAnsi" w:hAnsiTheme="minorHAnsi" w:cstheme="minorHAnsi"/>
          <w:szCs w:val="24"/>
        </w:rPr>
        <w:t>e</w:t>
      </w:r>
      <w:r w:rsidRPr="00DF782C">
        <w:rPr>
          <w:rFonts w:asciiTheme="minorHAnsi" w:hAnsiTheme="minorHAnsi" w:cstheme="minorHAnsi"/>
          <w:szCs w:val="24"/>
        </w:rPr>
        <w:t xml:space="preserve"> de Altos Cargos</w:t>
      </w:r>
      <w:r w:rsidR="00027C45">
        <w:rPr>
          <w:rFonts w:asciiTheme="minorHAnsi" w:hAnsiTheme="minorHAnsi" w:cstheme="minorHAnsi"/>
          <w:szCs w:val="24"/>
        </w:rPr>
        <w:t>. La información que se proporciona</w:t>
      </w:r>
      <w:r w:rsidRPr="00DF782C">
        <w:rPr>
          <w:rFonts w:asciiTheme="minorHAnsi" w:hAnsiTheme="minorHAnsi" w:cstheme="minorHAnsi"/>
          <w:szCs w:val="24"/>
        </w:rPr>
        <w:t xml:space="preserve"> </w:t>
      </w:r>
      <w:r w:rsidR="000B51EC">
        <w:rPr>
          <w:rFonts w:asciiTheme="minorHAnsi" w:hAnsiTheme="minorHAnsi" w:cstheme="minorHAnsi"/>
          <w:szCs w:val="24"/>
        </w:rPr>
        <w:t xml:space="preserve">se refiere al régimen general de incompatibilidades de Altos Cargos 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0B51EC" w:rsidRPr="000B51EC">
        <w:rPr>
          <w:rFonts w:asciiTheme="minorHAnsi" w:hAnsiTheme="minorHAnsi" w:cstheme="minorHAnsi"/>
          <w:szCs w:val="24"/>
        </w:rPr>
        <w:t>y el ejemplo</w:t>
      </w:r>
      <w:r w:rsidR="000B51EC">
        <w:rPr>
          <w:rFonts w:asciiTheme="minorHAnsi" w:hAnsiTheme="minorHAnsi" w:cstheme="minorHAnsi"/>
          <w:szCs w:val="24"/>
        </w:rPr>
        <w:t xml:space="preserve"> </w:t>
      </w:r>
      <w:r w:rsidR="00500149">
        <w:rPr>
          <w:rFonts w:asciiTheme="minorHAnsi" w:hAnsiTheme="minorHAnsi" w:cstheme="minorHAnsi"/>
          <w:szCs w:val="24"/>
        </w:rPr>
        <w:t xml:space="preserve">incluido en el informe de observaciones </w:t>
      </w:r>
      <w:r w:rsidR="000B51EC">
        <w:rPr>
          <w:rFonts w:asciiTheme="minorHAnsi" w:hAnsiTheme="minorHAnsi" w:cstheme="minorHAnsi"/>
          <w:szCs w:val="24"/>
        </w:rPr>
        <w:t xml:space="preserve">corresponde a un Alto Cargo en activo. La obligación se refiere a las compatibilidades concedidas </w:t>
      </w:r>
      <w:r w:rsidR="000B51EC" w:rsidRPr="000B51EC">
        <w:rPr>
          <w:rFonts w:asciiTheme="minorHAnsi" w:hAnsiTheme="minorHAnsi" w:cstheme="minorHAnsi"/>
          <w:szCs w:val="24"/>
          <w:u w:val="single"/>
        </w:rPr>
        <w:t>tras el cese</w:t>
      </w:r>
      <w:r w:rsidR="000B51EC">
        <w:rPr>
          <w:rFonts w:asciiTheme="minorHAnsi" w:hAnsiTheme="minorHAnsi" w:cstheme="minorHAnsi"/>
          <w:szCs w:val="24"/>
        </w:rPr>
        <w:t xml:space="preserve"> y su cumplimiento implica la publicación de información individualiza de las compatibilidades concedidas. </w:t>
      </w:r>
    </w:p>
    <w:p w:rsidR="00D64F0D" w:rsidRPr="00D64F0D" w:rsidRDefault="000B51EC" w:rsidP="00D64F0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D64F0D">
        <w:rPr>
          <w:rFonts w:asciiTheme="minorHAnsi" w:hAnsiTheme="minorHAnsi" w:cstheme="minorHAnsi"/>
          <w:b/>
          <w:szCs w:val="24"/>
        </w:rPr>
        <w:t>Respecto de la</w:t>
      </w:r>
      <w:r w:rsidR="00D64F0D" w:rsidRPr="00D64F0D">
        <w:rPr>
          <w:rFonts w:asciiTheme="minorHAnsi" w:hAnsiTheme="minorHAnsi" w:cstheme="minorHAnsi"/>
          <w:b/>
          <w:szCs w:val="24"/>
        </w:rPr>
        <w:t>s observaciones relacionadas con la calidad de la información.</w:t>
      </w:r>
      <w:r w:rsidRPr="00D64F0D">
        <w:rPr>
          <w:rFonts w:asciiTheme="minorHAnsi" w:hAnsiTheme="minorHAnsi" w:cstheme="minorHAnsi"/>
          <w:b/>
          <w:szCs w:val="24"/>
        </w:rPr>
        <w:t xml:space="preserve"> </w:t>
      </w:r>
    </w:p>
    <w:p w:rsidR="00D64F0D" w:rsidRDefault="00D64F0D" w:rsidP="00D64F0D">
      <w:pPr>
        <w:pStyle w:val="Prrafodelista"/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0B51EC" w:rsidRDefault="00D64F0D" w:rsidP="00D64F0D">
      <w:pPr>
        <w:pStyle w:val="Prrafodelista"/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cuanto a la </w:t>
      </w:r>
      <w:r w:rsidR="000B51EC" w:rsidRPr="00D64F0D">
        <w:rPr>
          <w:rFonts w:asciiTheme="minorHAnsi" w:hAnsiTheme="minorHAnsi" w:cstheme="minorHAnsi"/>
          <w:szCs w:val="24"/>
        </w:rPr>
        <w:t xml:space="preserve">actualización de la información, siguiendo con el criterio de medición establecido por MESTA se ha </w:t>
      </w:r>
      <w:r w:rsidRPr="00D64F0D">
        <w:rPr>
          <w:rFonts w:asciiTheme="minorHAnsi" w:hAnsiTheme="minorHAnsi" w:cstheme="minorHAnsi"/>
          <w:szCs w:val="24"/>
        </w:rPr>
        <w:t xml:space="preserve">valorado el cumplimiento con un 10 cuando la información está datada y actualizada, con un 5 cuando solo está datada y con un 0 cuando no existe ni datación ni actualización. En esta última situación solo se encuentra la información relativa a las funciones. Las informaciones a las que se refiere </w:t>
      </w:r>
      <w:r>
        <w:rPr>
          <w:rFonts w:asciiTheme="minorHAnsi" w:hAnsiTheme="minorHAnsi" w:cstheme="minorHAnsi"/>
          <w:szCs w:val="24"/>
        </w:rPr>
        <w:t>el informe de observaciones se han considerado datadas y actualizadas, precisamente por su periodicidad anual.</w:t>
      </w:r>
      <w:r w:rsidRPr="00D64F0D">
        <w:rPr>
          <w:rFonts w:asciiTheme="minorHAnsi" w:hAnsiTheme="minorHAnsi" w:cstheme="minorHAnsi"/>
          <w:szCs w:val="24"/>
        </w:rPr>
        <w:t xml:space="preserve"> </w:t>
      </w:r>
    </w:p>
    <w:p w:rsidR="00D64F0D" w:rsidRDefault="00D64F0D" w:rsidP="00D64F0D">
      <w:pPr>
        <w:pStyle w:val="Prrafodelista"/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D77A14" w:rsidRPr="00F96DEE" w:rsidRDefault="00D64F0D" w:rsidP="00291A74">
      <w:pPr>
        <w:pStyle w:val="Prrafodelista"/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Respecto del recurso a fuentes de datos centralizadas para ofrecer determinadas informaciones</w:t>
      </w:r>
      <w:r w:rsidR="00D77A14">
        <w:rPr>
          <w:rFonts w:asciiTheme="minorHAnsi" w:hAnsiTheme="minorHAnsi" w:cstheme="minorHAnsi"/>
          <w:szCs w:val="24"/>
        </w:rPr>
        <w:t xml:space="preserve">, este Consejo entiende las razones que alega la Comunidad de Madrid. No obstante, tal como  este Consejo viene reiterando a los organismos públicos evaluados en el ámbito de la Administración General del Estado, </w:t>
      </w:r>
      <w:r w:rsidR="00D77A14" w:rsidRPr="00F96DEE">
        <w:rPr>
          <w:rFonts w:asciiTheme="minorHAnsi" w:hAnsiTheme="minorHAnsi" w:cstheme="minorHAnsi"/>
          <w:szCs w:val="24"/>
        </w:rPr>
        <w:t xml:space="preserve">el recurso a este tipo de fuentes es una práctica inadecuada </w:t>
      </w:r>
      <w:r w:rsidR="00D77A14" w:rsidRPr="00F96DEE">
        <w:rPr>
          <w:rFonts w:asciiTheme="minorHAnsi" w:hAnsiTheme="minorHAnsi" w:cstheme="minorHAnsi"/>
          <w:szCs w:val="24"/>
        </w:rPr>
        <w:lastRenderedPageBreak/>
        <w:t>desde el punto de vista de los requisitos formales exigidos en el art.</w:t>
      </w:r>
      <w:r w:rsidR="001331A9">
        <w:rPr>
          <w:rFonts w:asciiTheme="minorHAnsi" w:hAnsiTheme="minorHAnsi" w:cstheme="minorHAnsi"/>
          <w:szCs w:val="24"/>
        </w:rPr>
        <w:t xml:space="preserve"> </w:t>
      </w:r>
      <w:r w:rsidR="00D77A14" w:rsidRPr="00F96DEE">
        <w:rPr>
          <w:rFonts w:asciiTheme="minorHAnsi" w:hAnsiTheme="minorHAnsi" w:cstheme="minorHAnsi"/>
          <w:szCs w:val="24"/>
        </w:rPr>
        <w:t xml:space="preserve">5 de la LTAIBG, especialmente para el cumplimiento de los de claridad y accesibilidad, puesto que puede dificultar a los usuarios de la transparencia activa la localización de la información requerida. </w:t>
      </w:r>
    </w:p>
    <w:p w:rsidR="00D77A14" w:rsidRPr="00F96DEE" w:rsidRDefault="00D77A14" w:rsidP="00D77A14">
      <w:pPr>
        <w:pStyle w:val="Prrafodelista"/>
        <w:ind w:left="426"/>
        <w:jc w:val="both"/>
        <w:rPr>
          <w:rFonts w:asciiTheme="minorHAnsi" w:hAnsiTheme="minorHAnsi" w:cstheme="minorHAnsi"/>
          <w:szCs w:val="24"/>
        </w:rPr>
      </w:pPr>
    </w:p>
    <w:p w:rsidR="00D77A14" w:rsidRDefault="00D77A14" w:rsidP="00291A74">
      <w:pPr>
        <w:pStyle w:val="Prrafodelista"/>
        <w:ind w:left="709"/>
        <w:jc w:val="both"/>
        <w:rPr>
          <w:rFonts w:asciiTheme="minorHAnsi" w:hAnsiTheme="minorHAnsi" w:cstheme="minorHAnsi"/>
          <w:szCs w:val="24"/>
        </w:rPr>
      </w:pPr>
      <w:r w:rsidRPr="00F96DEE">
        <w:rPr>
          <w:rFonts w:asciiTheme="minorHAnsi" w:hAnsiTheme="minorHAnsi" w:cstheme="minorHAnsi"/>
          <w:szCs w:val="24"/>
        </w:rPr>
        <w:t>Por un lado porque este tipo de fuentes están diseñadas para otras finalidades distintas del cumplimiento de las obligaciones de transparencia, razón por la que su estructura y el hecho de que incorporen mucha información irrelevante desde el punto de vista de la transparencia, hacen que resulten de difícil manejo para los ciudadanos no expertos en cuestiones administrativas. Y por otra parte porque pese al gran volumen de datos e información que incorporan, se da la paradoja de que, en algunos casos, los recursos centralizados no recogen la totalidad de las informaciones de publicidad activa exigidas obligatoriamente por la Ley.</w:t>
      </w:r>
    </w:p>
    <w:p w:rsidR="00D77A14" w:rsidRPr="009F37A0" w:rsidRDefault="00D77A14" w:rsidP="00D77A14">
      <w:pPr>
        <w:pStyle w:val="Prrafodelista"/>
        <w:ind w:left="426"/>
        <w:jc w:val="both"/>
        <w:rPr>
          <w:rFonts w:asciiTheme="minorHAnsi" w:hAnsiTheme="minorHAnsi" w:cstheme="minorHAnsi"/>
          <w:szCs w:val="24"/>
        </w:rPr>
      </w:pPr>
    </w:p>
    <w:p w:rsidR="00D77A14" w:rsidRDefault="00D77A14" w:rsidP="00291A74">
      <w:pPr>
        <w:pStyle w:val="Prrafodelista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  <w:szCs w:val="24"/>
        </w:rPr>
      </w:pPr>
      <w:r w:rsidRPr="009F37A0">
        <w:rPr>
          <w:rFonts w:asciiTheme="minorHAnsi" w:hAnsiTheme="minorHAnsi" w:cstheme="minorHAnsi"/>
          <w:szCs w:val="24"/>
        </w:rPr>
        <w:t xml:space="preserve">Es esta la razón por la cual este Consejo </w:t>
      </w:r>
      <w:r>
        <w:rPr>
          <w:rFonts w:asciiTheme="minorHAnsi" w:hAnsiTheme="minorHAnsi" w:cstheme="minorHAnsi"/>
          <w:szCs w:val="24"/>
        </w:rPr>
        <w:t>insist</w:t>
      </w:r>
      <w:r w:rsidR="00F137C5">
        <w:rPr>
          <w:rFonts w:asciiTheme="minorHAnsi" w:hAnsiTheme="minorHAnsi" w:cstheme="minorHAnsi"/>
          <w:szCs w:val="24"/>
        </w:rPr>
        <w:t>e</w:t>
      </w:r>
      <w:r w:rsidRPr="009F37A0">
        <w:rPr>
          <w:rFonts w:asciiTheme="minorHAnsi" w:hAnsiTheme="minorHAnsi" w:cstheme="minorHAnsi"/>
          <w:szCs w:val="24"/>
        </w:rPr>
        <w:t xml:space="preserve"> en que los organismos públicos y demás entidades sujetas a obligaciones de publicidad activa publiquen esta información de manera resumida en sus Portales de Transparencia, independientemente de que se dé acceso</w:t>
      </w:r>
      <w:r>
        <w:rPr>
          <w:rFonts w:asciiTheme="minorHAnsi" w:hAnsiTheme="minorHAnsi" w:cstheme="minorHAnsi"/>
          <w:szCs w:val="24"/>
        </w:rPr>
        <w:t xml:space="preserve"> a través de dichas fuentes de datos.</w:t>
      </w:r>
    </w:p>
    <w:p w:rsidR="00D77A14" w:rsidRDefault="00D77A14" w:rsidP="00D77A14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Cs w:val="24"/>
        </w:rPr>
      </w:pPr>
    </w:p>
    <w:p w:rsidR="006F17B5" w:rsidRDefault="00E9466D" w:rsidP="00F137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jc w:val="both"/>
        <w:rPr>
          <w:rFonts w:asciiTheme="minorHAnsi" w:hAnsiTheme="minorHAnsi" w:cstheme="minorHAnsi"/>
          <w:szCs w:val="24"/>
        </w:rPr>
      </w:pPr>
      <w:r w:rsidRPr="00E9466D">
        <w:rPr>
          <w:rFonts w:asciiTheme="minorHAnsi" w:hAnsiTheme="minorHAnsi" w:cstheme="minorHAnsi"/>
          <w:szCs w:val="24"/>
        </w:rPr>
        <w:t>T</w:t>
      </w:r>
      <w:r w:rsidR="006F17B5" w:rsidRPr="00E9466D">
        <w:rPr>
          <w:rFonts w:asciiTheme="minorHAnsi" w:hAnsiTheme="minorHAnsi" w:cstheme="minorHAnsi"/>
          <w:szCs w:val="24"/>
        </w:rPr>
        <w:t xml:space="preserve">ras la revisión efectuada por parte de este Consejo, el Indicador de Cumplimiento de la Información Obligatoria correspondiente a </w:t>
      </w:r>
      <w:r w:rsidR="000A1EFB" w:rsidRPr="00E9466D">
        <w:rPr>
          <w:rFonts w:asciiTheme="minorHAnsi" w:hAnsiTheme="minorHAnsi" w:cstheme="minorHAnsi"/>
          <w:szCs w:val="24"/>
        </w:rPr>
        <w:t xml:space="preserve">la Administración de la Comunidad Autónoma de </w:t>
      </w:r>
      <w:r w:rsidR="005C22BA">
        <w:rPr>
          <w:rFonts w:asciiTheme="minorHAnsi" w:hAnsiTheme="minorHAnsi" w:cstheme="minorHAnsi"/>
          <w:szCs w:val="24"/>
        </w:rPr>
        <w:t>Madrid</w:t>
      </w:r>
      <w:r w:rsidR="006F17B5" w:rsidRPr="00E9466D">
        <w:rPr>
          <w:rFonts w:asciiTheme="minorHAnsi" w:hAnsiTheme="minorHAnsi" w:cstheme="minorHAnsi"/>
          <w:szCs w:val="24"/>
        </w:rPr>
        <w:t xml:space="preserve"> se sitúa en el </w:t>
      </w:r>
      <w:r w:rsidR="00291A74">
        <w:rPr>
          <w:rFonts w:asciiTheme="minorHAnsi" w:hAnsiTheme="minorHAnsi" w:cstheme="minorHAnsi"/>
          <w:szCs w:val="24"/>
        </w:rPr>
        <w:t>83,3</w:t>
      </w:r>
      <w:r w:rsidR="009E30AA" w:rsidRPr="00E9466D">
        <w:rPr>
          <w:rFonts w:asciiTheme="minorHAnsi" w:hAnsiTheme="minorHAnsi" w:cstheme="minorHAnsi"/>
          <w:szCs w:val="24"/>
        </w:rPr>
        <w:t>%</w:t>
      </w:r>
      <w:r w:rsidR="006F17B5" w:rsidRPr="00E9466D">
        <w:rPr>
          <w:rFonts w:asciiTheme="minorHAnsi" w:hAnsiTheme="minorHAnsi" w:cstheme="minorHAnsi"/>
          <w:szCs w:val="24"/>
        </w:rPr>
        <w:t>.</w:t>
      </w:r>
    </w:p>
    <w:p w:rsidR="00F137C5" w:rsidRDefault="00F137C5" w:rsidP="00F137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Finalmente este Consejo quiere valorar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 la Comunidad Autónoma de Madrid al implant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ar </w:t>
      </w:r>
      <w:r w:rsidRPr="00F137C5">
        <w:rPr>
          <w:rFonts w:asciiTheme="minorHAnsi" w:hAnsiTheme="minorHAnsi" w:cstheme="minorHAnsi"/>
          <w:szCs w:val="24"/>
        </w:rPr>
        <w:t xml:space="preserve">varias </w:t>
      </w:r>
      <w:r>
        <w:rPr>
          <w:rFonts w:asciiTheme="minorHAnsi" w:hAnsiTheme="minorHAnsi" w:cstheme="minorHAnsi"/>
          <w:szCs w:val="24"/>
        </w:rPr>
        <w:t xml:space="preserve"> de las recomendaciones efectuadas durante el periodo de observaciones y su disposición a la mejora de la Transparencia en la Comunidad.  </w:t>
      </w:r>
    </w:p>
    <w:p w:rsidR="00F137C5" w:rsidRPr="00F137C5" w:rsidRDefault="00F137C5" w:rsidP="00F137C5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Default="006F17B5" w:rsidP="00C4559C">
      <w:pPr>
        <w:autoSpaceDE w:val="0"/>
        <w:autoSpaceDN w:val="0"/>
        <w:adjustRightInd w:val="0"/>
        <w:spacing w:before="120" w:after="120" w:line="312" w:lineRule="auto"/>
        <w:jc w:val="right"/>
      </w:pPr>
      <w:r w:rsidRPr="006F17B5">
        <w:rPr>
          <w:rFonts w:asciiTheme="minorHAnsi" w:hAnsiTheme="minorHAnsi" w:cstheme="minorHAnsi"/>
          <w:szCs w:val="24"/>
        </w:rPr>
        <w:t>Madrid, ju</w:t>
      </w:r>
      <w:r w:rsidR="000A1EFB">
        <w:rPr>
          <w:rFonts w:asciiTheme="minorHAnsi" w:hAnsiTheme="minorHAnsi" w:cstheme="minorHAnsi"/>
          <w:szCs w:val="24"/>
        </w:rPr>
        <w:t>lio</w:t>
      </w:r>
      <w:r w:rsidRPr="006F17B5">
        <w:rPr>
          <w:rFonts w:asciiTheme="minorHAnsi" w:hAnsiTheme="minorHAnsi" w:cstheme="minorHAnsi"/>
          <w:szCs w:val="24"/>
        </w:rPr>
        <w:t xml:space="preserve"> de 2020</w:t>
      </w:r>
    </w:p>
    <w:sectPr w:rsidR="006F17B5" w:rsidSect="00E9466D">
      <w:headerReference w:type="default" r:id="rId11"/>
      <w:footerReference w:type="default" r:id="rId12"/>
      <w:headerReference w:type="first" r:id="rId13"/>
      <w:pgSz w:w="11906" w:h="16838" w:code="9"/>
      <w:pgMar w:top="1418" w:right="1134" w:bottom="24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6E" w:rsidRDefault="00424D6E" w:rsidP="00344FE7">
      <w:pPr>
        <w:spacing w:after="0" w:line="240" w:lineRule="auto"/>
      </w:pPr>
      <w:r>
        <w:separator/>
      </w:r>
    </w:p>
  </w:endnote>
  <w:endnote w:type="continuationSeparator" w:id="0">
    <w:p w:rsidR="00424D6E" w:rsidRDefault="00424D6E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24D6E" w:rsidRPr="00C23F36" w:rsidRDefault="00424D6E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291A74">
          <w:rPr>
            <w:noProof/>
            <w:sz w:val="20"/>
            <w:szCs w:val="20"/>
          </w:rPr>
          <w:t>4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6E" w:rsidRDefault="00424D6E" w:rsidP="00344FE7">
      <w:pPr>
        <w:spacing w:after="0" w:line="240" w:lineRule="auto"/>
      </w:pPr>
      <w:r>
        <w:separator/>
      </w:r>
    </w:p>
  </w:footnote>
  <w:footnote w:type="continuationSeparator" w:id="0">
    <w:p w:rsidR="00424D6E" w:rsidRDefault="00424D6E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6E" w:rsidRDefault="00424D6E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72D41BF" wp14:editId="4E401D0B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4D6E" w:rsidRDefault="00424D6E">
    <w:pPr>
      <w:pStyle w:val="Encabezado"/>
    </w:pPr>
  </w:p>
  <w:p w:rsidR="00424D6E" w:rsidRDefault="00424D6E" w:rsidP="00344FE7">
    <w:pPr>
      <w:pStyle w:val="Encabezado"/>
    </w:pPr>
  </w:p>
  <w:p w:rsidR="00424D6E" w:rsidRDefault="00424D6E" w:rsidP="00344FE7">
    <w:pPr>
      <w:pStyle w:val="Encabezado"/>
    </w:pPr>
  </w:p>
  <w:p w:rsidR="00424D6E" w:rsidRDefault="00424D6E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6E" w:rsidRDefault="00424D6E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CA714FA" wp14:editId="00DC7678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4B97D30" wp14:editId="7B0458A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4F3"/>
    <w:multiLevelType w:val="hybridMultilevel"/>
    <w:tmpl w:val="3FE22C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2524B"/>
    <w:multiLevelType w:val="hybridMultilevel"/>
    <w:tmpl w:val="CAB8AF12"/>
    <w:lvl w:ilvl="0" w:tplc="760E8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2EFF5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1053"/>
    <w:multiLevelType w:val="hybridMultilevel"/>
    <w:tmpl w:val="0AC8D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80BD5"/>
    <w:multiLevelType w:val="hybridMultilevel"/>
    <w:tmpl w:val="3FE22C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865803"/>
    <w:multiLevelType w:val="hybridMultilevel"/>
    <w:tmpl w:val="4AB0C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96959"/>
    <w:multiLevelType w:val="hybridMultilevel"/>
    <w:tmpl w:val="8D3E2ABC"/>
    <w:lvl w:ilvl="0" w:tplc="760E86F6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27C45"/>
    <w:rsid w:val="00033E75"/>
    <w:rsid w:val="000A1EFB"/>
    <w:rsid w:val="000B51EC"/>
    <w:rsid w:val="000F4F49"/>
    <w:rsid w:val="001257F9"/>
    <w:rsid w:val="001331A9"/>
    <w:rsid w:val="0014196C"/>
    <w:rsid w:val="00172ADE"/>
    <w:rsid w:val="001750A8"/>
    <w:rsid w:val="00175D6C"/>
    <w:rsid w:val="0018324C"/>
    <w:rsid w:val="001B16D9"/>
    <w:rsid w:val="001E44BC"/>
    <w:rsid w:val="00251194"/>
    <w:rsid w:val="00291A74"/>
    <w:rsid w:val="002E240D"/>
    <w:rsid w:val="00304383"/>
    <w:rsid w:val="003259B9"/>
    <w:rsid w:val="00333B48"/>
    <w:rsid w:val="00344FE7"/>
    <w:rsid w:val="00351475"/>
    <w:rsid w:val="003656B1"/>
    <w:rsid w:val="003A7B9B"/>
    <w:rsid w:val="003B493B"/>
    <w:rsid w:val="003B5DE7"/>
    <w:rsid w:val="003F38BD"/>
    <w:rsid w:val="00424D6E"/>
    <w:rsid w:val="004A1225"/>
    <w:rsid w:val="004B15B8"/>
    <w:rsid w:val="00500149"/>
    <w:rsid w:val="005340CF"/>
    <w:rsid w:val="005C22BA"/>
    <w:rsid w:val="005C7E6D"/>
    <w:rsid w:val="006218A4"/>
    <w:rsid w:val="00670E30"/>
    <w:rsid w:val="006A6110"/>
    <w:rsid w:val="006B0836"/>
    <w:rsid w:val="006F1699"/>
    <w:rsid w:val="006F17B5"/>
    <w:rsid w:val="006F5890"/>
    <w:rsid w:val="0071472F"/>
    <w:rsid w:val="007342F2"/>
    <w:rsid w:val="00792654"/>
    <w:rsid w:val="007942C9"/>
    <w:rsid w:val="007A662D"/>
    <w:rsid w:val="007C00E5"/>
    <w:rsid w:val="007C0642"/>
    <w:rsid w:val="007D24E2"/>
    <w:rsid w:val="00815DA2"/>
    <w:rsid w:val="0089717A"/>
    <w:rsid w:val="008E090E"/>
    <w:rsid w:val="00901F1F"/>
    <w:rsid w:val="009029E0"/>
    <w:rsid w:val="0090738A"/>
    <w:rsid w:val="00991DC8"/>
    <w:rsid w:val="009D2560"/>
    <w:rsid w:val="009D6677"/>
    <w:rsid w:val="009E30AA"/>
    <w:rsid w:val="00AA39FF"/>
    <w:rsid w:val="00B2797F"/>
    <w:rsid w:val="00B31F84"/>
    <w:rsid w:val="00B35A53"/>
    <w:rsid w:val="00BC7A82"/>
    <w:rsid w:val="00C23F36"/>
    <w:rsid w:val="00C305B6"/>
    <w:rsid w:val="00C3135F"/>
    <w:rsid w:val="00C42767"/>
    <w:rsid w:val="00C4559C"/>
    <w:rsid w:val="00C736B9"/>
    <w:rsid w:val="00C7601F"/>
    <w:rsid w:val="00CE309E"/>
    <w:rsid w:val="00D445A4"/>
    <w:rsid w:val="00D6236A"/>
    <w:rsid w:val="00D64F0D"/>
    <w:rsid w:val="00D77A14"/>
    <w:rsid w:val="00DB2CB4"/>
    <w:rsid w:val="00DB2CCC"/>
    <w:rsid w:val="00DC05D6"/>
    <w:rsid w:val="00DD07B5"/>
    <w:rsid w:val="00DF782C"/>
    <w:rsid w:val="00E03C82"/>
    <w:rsid w:val="00E4386D"/>
    <w:rsid w:val="00E5135F"/>
    <w:rsid w:val="00E64F85"/>
    <w:rsid w:val="00E9466D"/>
    <w:rsid w:val="00EB7058"/>
    <w:rsid w:val="00EC3AAE"/>
    <w:rsid w:val="00EF5F68"/>
    <w:rsid w:val="00EF7857"/>
    <w:rsid w:val="00F014B1"/>
    <w:rsid w:val="00F10DCD"/>
    <w:rsid w:val="00F11D14"/>
    <w:rsid w:val="00F137C5"/>
    <w:rsid w:val="00F31426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Cuerpodelboletn">
    <w:name w:val="Cuerpo del boletín"/>
    <w:basedOn w:val="Normal"/>
    <w:qFormat/>
    <w:rsid w:val="006B0836"/>
    <w:pPr>
      <w:spacing w:line="240" w:lineRule="auto"/>
      <w:jc w:val="both"/>
    </w:pPr>
    <w:rPr>
      <w:rFonts w:ascii="Century Gothic" w:hAnsi="Century Gothic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Cuerpodelboletn">
    <w:name w:val="Cuerpo del boletín"/>
    <w:basedOn w:val="Normal"/>
    <w:qFormat/>
    <w:rsid w:val="006B0836"/>
    <w:pPr>
      <w:spacing w:line="240" w:lineRule="auto"/>
      <w:jc w:val="both"/>
    </w:pPr>
    <w:rPr>
      <w:rFonts w:ascii="Century Gothic" w:hAnsi="Century Gothic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rid.org/cs/Satellite?c=CM_ConvocaPrestac_FA&amp;cid=1354833125554&amp;definicion=Contratos+Publicos&amp;idPagina=1224915242285&amp;language=es&amp;op2=PCON&amp;pagename=PortalContratacion%2FPage%2FPCON_contratosPublicos&amp;tipoServicio=CM_ConvocaPrestac_FA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1184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10</cp:revision>
  <cp:lastPrinted>2015-01-27T17:42:00Z</cp:lastPrinted>
  <dcterms:created xsi:type="dcterms:W3CDTF">2020-07-20T07:39:00Z</dcterms:created>
  <dcterms:modified xsi:type="dcterms:W3CDTF">2020-07-22T11:18:00Z</dcterms:modified>
</cp:coreProperties>
</file>