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D801AD" w:rsidRDefault="006F17B5" w:rsidP="006445E7">
      <w:pPr>
        <w:pStyle w:val="Ttulo1"/>
        <w:spacing w:before="120" w:after="120" w:line="312" w:lineRule="auto"/>
        <w:jc w:val="both"/>
        <w:rPr>
          <w:rFonts w:cstheme="minorHAnsi"/>
        </w:rPr>
      </w:pPr>
      <w:bookmarkStart w:id="0" w:name="_GoBack"/>
      <w:bookmarkEnd w:id="0"/>
      <w:r w:rsidRPr="00D801AD">
        <w:rPr>
          <w:rFonts w:cstheme="minorHAnsi"/>
        </w:rPr>
        <w:t xml:space="preserve">INFORME RELATIVO A LAS OBSERVACIONES REMITIDAS POR </w:t>
      </w:r>
      <w:r w:rsidR="00CF0704" w:rsidRPr="00D801AD">
        <w:rPr>
          <w:rFonts w:cstheme="minorHAnsi"/>
        </w:rPr>
        <w:t xml:space="preserve">EL CONSEJO GENERAL DE </w:t>
      </w:r>
      <w:r w:rsidR="00F52A31">
        <w:rPr>
          <w:rFonts w:cstheme="minorHAnsi"/>
        </w:rPr>
        <w:t>SECRETARIOS, INTERVENTORES Y TESOREROS DE ADMINISTRACIÓN LOCAL</w:t>
      </w:r>
      <w:r w:rsidR="001D0F34" w:rsidRPr="00D801AD">
        <w:rPr>
          <w:rFonts w:cstheme="minorHAnsi"/>
        </w:rPr>
        <w:t xml:space="preserve"> </w:t>
      </w:r>
      <w:r w:rsidRPr="00D801AD">
        <w:rPr>
          <w:rFonts w:cstheme="minorHAnsi"/>
        </w:rPr>
        <w:t>EN RELACIÓN CON EL INFORME DEL CTBG SOBRE CUMPLIMIENTO DE LAS OBLIGACIONES DE PUBLICIDAD ACTIVA ESTABLECIDAS POR LA LTAIBG</w:t>
      </w:r>
    </w:p>
    <w:p w:rsidR="00CF0704" w:rsidRPr="005D0E4C" w:rsidRDefault="006F17B5" w:rsidP="005D0E4C">
      <w:pPr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5D0E4C">
        <w:rPr>
          <w:rFonts w:asciiTheme="minorHAnsi" w:hAnsiTheme="minorHAnsi" w:cstheme="minorHAnsi"/>
          <w:szCs w:val="24"/>
        </w:rPr>
        <w:t xml:space="preserve">Una vez analizadas las observaciones realizadas por </w:t>
      </w:r>
      <w:r w:rsidR="00CF0704" w:rsidRPr="005D0E4C">
        <w:rPr>
          <w:rFonts w:asciiTheme="minorHAnsi" w:hAnsiTheme="minorHAnsi" w:cstheme="minorHAnsi"/>
          <w:szCs w:val="24"/>
        </w:rPr>
        <w:t xml:space="preserve">el </w:t>
      </w:r>
      <w:r w:rsidR="00F52A31" w:rsidRPr="005D0E4C">
        <w:rPr>
          <w:rFonts w:asciiTheme="minorHAnsi" w:hAnsiTheme="minorHAnsi" w:cstheme="minorHAnsi"/>
          <w:szCs w:val="24"/>
          <w:lang w:bidi="es-ES"/>
        </w:rPr>
        <w:t xml:space="preserve">Consejo General de Secretarios, Interventores y Tesoreros de Administración Local (COSITAL) </w:t>
      </w:r>
      <w:r w:rsidRPr="005D0E4C">
        <w:rPr>
          <w:rFonts w:asciiTheme="minorHAnsi" w:hAnsiTheme="minorHAnsi" w:cstheme="minorHAnsi"/>
          <w:szCs w:val="24"/>
        </w:rPr>
        <w:t xml:space="preserve">al borrador de informe de evaluación </w:t>
      </w:r>
      <w:r w:rsidR="00086C3F" w:rsidRPr="005D0E4C">
        <w:rPr>
          <w:rFonts w:asciiTheme="minorHAnsi" w:hAnsiTheme="minorHAnsi" w:cstheme="minorHAnsi"/>
          <w:szCs w:val="24"/>
        </w:rPr>
        <w:t xml:space="preserve">relativo al grado de </w:t>
      </w:r>
      <w:r w:rsidRPr="005D0E4C">
        <w:rPr>
          <w:rFonts w:asciiTheme="minorHAnsi" w:hAnsiTheme="minorHAnsi" w:cstheme="minorHAnsi"/>
          <w:szCs w:val="24"/>
        </w:rPr>
        <w:t xml:space="preserve">cumplimiento de las obligaciones de publicidad activa por parte de la </w:t>
      </w:r>
      <w:r w:rsidR="002F7C2D" w:rsidRPr="005D0E4C">
        <w:rPr>
          <w:rFonts w:asciiTheme="minorHAnsi" w:hAnsiTheme="minorHAnsi" w:cstheme="minorHAnsi"/>
          <w:szCs w:val="24"/>
        </w:rPr>
        <w:t>corporación</w:t>
      </w:r>
      <w:r w:rsidRPr="005D0E4C">
        <w:rPr>
          <w:rFonts w:asciiTheme="minorHAnsi" w:hAnsiTheme="minorHAnsi" w:cstheme="minorHAnsi"/>
          <w:szCs w:val="24"/>
        </w:rPr>
        <w:t>, este CTBG efectúa las siguientes consideraciones:</w:t>
      </w:r>
      <w:r w:rsidR="00CF0704" w:rsidRPr="005D0E4C">
        <w:rPr>
          <w:rFonts w:asciiTheme="minorHAnsi" w:hAnsiTheme="minorHAnsi" w:cstheme="minorHAnsi"/>
          <w:szCs w:val="24"/>
        </w:rPr>
        <w:t xml:space="preserve"> </w:t>
      </w:r>
    </w:p>
    <w:p w:rsidR="003A0194" w:rsidRPr="005D0E4C" w:rsidRDefault="00F52A31" w:rsidP="005D0E4C">
      <w:pPr>
        <w:pStyle w:val="Prrafodelista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0E4C">
        <w:rPr>
          <w:rFonts w:asciiTheme="minorHAnsi" w:hAnsiTheme="minorHAnsi" w:cstheme="minorHAnsi"/>
          <w:sz w:val="24"/>
          <w:szCs w:val="24"/>
        </w:rPr>
        <w:t xml:space="preserve">Portal de transparencia. La </w:t>
      </w:r>
      <w:r w:rsidR="00D74ABB" w:rsidRPr="005D0E4C">
        <w:rPr>
          <w:rFonts w:asciiTheme="minorHAnsi" w:hAnsiTheme="minorHAnsi" w:cstheme="minorHAnsi"/>
          <w:sz w:val="24"/>
          <w:szCs w:val="24"/>
        </w:rPr>
        <w:t>Ley 19/2013, de 9 de diciembre, de transparencia acceso a la información pública y buen gobierno (</w:t>
      </w:r>
      <w:r w:rsidRPr="005D0E4C">
        <w:rPr>
          <w:rFonts w:asciiTheme="minorHAnsi" w:hAnsiTheme="minorHAnsi" w:cstheme="minorHAnsi"/>
          <w:sz w:val="24"/>
          <w:szCs w:val="24"/>
        </w:rPr>
        <w:t>LTAIBG</w:t>
      </w:r>
      <w:r w:rsidR="00D74ABB" w:rsidRPr="005D0E4C">
        <w:rPr>
          <w:rFonts w:asciiTheme="minorHAnsi" w:hAnsiTheme="minorHAnsi" w:cstheme="minorHAnsi"/>
          <w:sz w:val="24"/>
          <w:szCs w:val="24"/>
        </w:rPr>
        <w:t>)</w:t>
      </w:r>
      <w:r w:rsidR="00286A34" w:rsidRPr="005D0E4C">
        <w:rPr>
          <w:rFonts w:asciiTheme="minorHAnsi" w:hAnsiTheme="minorHAnsi" w:cstheme="minorHAnsi"/>
          <w:sz w:val="24"/>
          <w:szCs w:val="24"/>
        </w:rPr>
        <w:t xml:space="preserve"> no exige a las corporaciones de Derecho Público que dispongan de un acceso específico denominado “Portal de Transparencia”. Ahora bien, desde este Consejo se viene recomendando su creación para facilitar a los ciudadanos la localización de la información sujeta a obligaciones de publicidad activa, siguiendo la metodología de evaluación y seguimiento de la transparencia (MESTA)</w:t>
      </w:r>
      <w:r w:rsidR="003A0194" w:rsidRPr="005D0E4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86A34" w:rsidRPr="005D0E4C" w:rsidRDefault="00286A34" w:rsidP="005D0E4C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5D0E4C">
        <w:rPr>
          <w:rFonts w:asciiTheme="minorHAnsi" w:hAnsiTheme="minorHAnsi" w:cstheme="minorHAnsi"/>
          <w:szCs w:val="24"/>
        </w:rPr>
        <w:t>Es por ello que la creación de un acceso específico de transparencia se considera un plus en el cumplimiento de las obligaciones de publicidad activa y por tanto es objeto de puntuación</w:t>
      </w:r>
      <w:r w:rsidR="00D92E58">
        <w:rPr>
          <w:rFonts w:asciiTheme="minorHAnsi" w:hAnsiTheme="minorHAnsi" w:cstheme="minorHAnsi"/>
          <w:szCs w:val="24"/>
        </w:rPr>
        <w:t xml:space="preserve"> y su existencia se destaca como buena práctica en el correspondiente apartado de los informes de evaluación. </w:t>
      </w:r>
      <w:r w:rsidRPr="005D0E4C">
        <w:rPr>
          <w:rFonts w:asciiTheme="minorHAnsi" w:hAnsiTheme="minorHAnsi" w:cstheme="minorHAnsi"/>
          <w:szCs w:val="24"/>
        </w:rPr>
        <w:t xml:space="preserve">No lo puede ser el hecho de que se incluya esta información en uno u otro apartado de la web distinto del específico de transparencia, por cuanto la obligación de publicar determinada información existe y tales contenidos informativos ya son objeto de puntuación. </w:t>
      </w:r>
    </w:p>
    <w:p w:rsidR="00A465C7" w:rsidRPr="005D0E4C" w:rsidRDefault="00286A34" w:rsidP="005D0E4C">
      <w:p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5D0E4C">
        <w:rPr>
          <w:rFonts w:asciiTheme="minorHAnsi" w:hAnsiTheme="minorHAnsi" w:cstheme="minorHAnsi"/>
          <w:szCs w:val="24"/>
        </w:rPr>
        <w:t>Posiblemente</w:t>
      </w:r>
      <w:r w:rsidR="00D92E58">
        <w:rPr>
          <w:rFonts w:asciiTheme="minorHAnsi" w:hAnsiTheme="minorHAnsi" w:cstheme="minorHAnsi"/>
          <w:szCs w:val="24"/>
        </w:rPr>
        <w:t>,</w:t>
      </w:r>
      <w:r w:rsidRPr="005D0E4C">
        <w:rPr>
          <w:rFonts w:asciiTheme="minorHAnsi" w:hAnsiTheme="minorHAnsi" w:cstheme="minorHAnsi"/>
          <w:szCs w:val="24"/>
        </w:rPr>
        <w:t xml:space="preserve"> el apartado “</w:t>
      </w:r>
      <w:r w:rsidR="003A0194" w:rsidRPr="005D0E4C">
        <w:rPr>
          <w:rFonts w:asciiTheme="minorHAnsi" w:hAnsiTheme="minorHAnsi" w:cstheme="minorHAnsi"/>
          <w:szCs w:val="24"/>
        </w:rPr>
        <w:t>Consejo General</w:t>
      </w:r>
      <w:r w:rsidRPr="005D0E4C">
        <w:rPr>
          <w:rFonts w:asciiTheme="minorHAnsi" w:hAnsiTheme="minorHAnsi" w:cstheme="minorHAnsi"/>
          <w:szCs w:val="24"/>
        </w:rPr>
        <w:t>” existiría tanto sin obligaciones de publicidad activa como con ellas, y su denominación no induce a pensar sin lugar a dudas que incluya la información sujeta a publicidad activa, lo que puede conllevar una labor de búsqueda a través de la web para descartar que exista más información en otros apartados diferentes.</w:t>
      </w:r>
    </w:p>
    <w:p w:rsidR="00AC3FBC" w:rsidRPr="005D0E4C" w:rsidRDefault="00F52A31" w:rsidP="005D0E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0E4C">
        <w:rPr>
          <w:rFonts w:asciiTheme="minorHAnsi" w:hAnsiTheme="minorHAnsi" w:cstheme="minorHAnsi"/>
          <w:sz w:val="24"/>
          <w:szCs w:val="24"/>
        </w:rPr>
        <w:t xml:space="preserve">Formatos: </w:t>
      </w:r>
      <w:r w:rsidR="00AC3FBC" w:rsidRPr="005D0E4C">
        <w:rPr>
          <w:rFonts w:asciiTheme="minorHAnsi" w:hAnsiTheme="minorHAnsi" w:cstheme="minorHAnsi"/>
          <w:sz w:val="24"/>
          <w:szCs w:val="24"/>
        </w:rPr>
        <w:t xml:space="preserve">aunque inicialmente la Ley 37/2007, de Reutilización de la Información en el Sector Público, no sería aplicable a entidades distintas de administraciones públicas, si lo es de manera indirecta en aplicación del artículo 5.4 de la LTAIBG. </w:t>
      </w:r>
    </w:p>
    <w:p w:rsidR="00AC3FBC" w:rsidRPr="005D0E4C" w:rsidRDefault="00BA726B" w:rsidP="005D0E4C">
      <w:p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 este sentido, e</w:t>
      </w:r>
      <w:r w:rsidR="00AC3FBC" w:rsidRPr="005D0E4C">
        <w:rPr>
          <w:rFonts w:asciiTheme="minorHAnsi" w:hAnsiTheme="minorHAnsi" w:cstheme="minorHAnsi"/>
          <w:szCs w:val="24"/>
        </w:rPr>
        <w:t>l</w:t>
      </w:r>
      <w:r w:rsidR="005D0E4C">
        <w:rPr>
          <w:rFonts w:asciiTheme="minorHAnsi" w:hAnsiTheme="minorHAnsi" w:cstheme="minorHAnsi"/>
          <w:szCs w:val="24"/>
        </w:rPr>
        <w:t xml:space="preserve"> </w:t>
      </w:r>
      <w:r w:rsidR="00AC3FBC" w:rsidRPr="005D0E4C">
        <w:rPr>
          <w:rFonts w:asciiTheme="minorHAnsi" w:hAnsiTheme="minorHAnsi" w:cstheme="minorHAnsi"/>
          <w:szCs w:val="24"/>
        </w:rPr>
        <w:t>artículo 5.2 de la Ley 37/2007 establece que las “</w:t>
      </w:r>
      <w:r w:rsidR="00AC3FBC" w:rsidRPr="005D0E4C">
        <w:rPr>
          <w:rFonts w:asciiTheme="minorHAnsi" w:hAnsiTheme="minorHAnsi" w:cstheme="minorHAnsi"/>
          <w:i/>
          <w:szCs w:val="24"/>
        </w:rPr>
        <w:t>Administraciones y organismos del sector público facilitarán sus documentos en cualquier formato o lengua preexistente, pero también procurarán, siempre que ello sea posible y apropiado, proporcionarlos en formato abierto y legible por máquina conforme a lo previsto en el apartado anterior y conjuntamente con sus metadatos, con los niveles más elevados de precisión y desagregación</w:t>
      </w:r>
      <w:r w:rsidR="00AC3FBC" w:rsidRPr="005D0E4C">
        <w:rPr>
          <w:rFonts w:asciiTheme="minorHAnsi" w:hAnsiTheme="minorHAnsi" w:cstheme="minorHAnsi"/>
          <w:szCs w:val="24"/>
        </w:rPr>
        <w:t xml:space="preserve">”. </w:t>
      </w:r>
    </w:p>
    <w:p w:rsidR="00F52A31" w:rsidRDefault="00AC3FBC" w:rsidP="005D0E4C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  <w:r w:rsidRPr="005D0E4C">
        <w:rPr>
          <w:rFonts w:asciiTheme="minorHAnsi" w:hAnsiTheme="minorHAnsi" w:cstheme="minorHAnsi"/>
          <w:szCs w:val="24"/>
        </w:rPr>
        <w:lastRenderedPageBreak/>
        <w:t>La misma norma define el formato legible por máquina como “</w:t>
      </w:r>
      <w:r w:rsidRPr="005D0E4C">
        <w:rPr>
          <w:rFonts w:asciiTheme="minorHAnsi" w:hAnsiTheme="minorHAnsi" w:cstheme="minorHAnsi"/>
          <w:i/>
          <w:szCs w:val="24"/>
        </w:rPr>
        <w:t>un formato de archivo estructurado que permita a las aplicaciones informáticas identificar, reconocer y extraer con facilidad datos específicos, incluidas las declaraciones fácticas y su estructura interna</w:t>
      </w:r>
      <w:r w:rsidRPr="005D0E4C">
        <w:rPr>
          <w:rFonts w:asciiTheme="minorHAnsi" w:hAnsiTheme="minorHAnsi" w:cstheme="minorHAnsi"/>
          <w:szCs w:val="24"/>
        </w:rPr>
        <w:t>”.</w:t>
      </w:r>
    </w:p>
    <w:p w:rsidR="00A465C7" w:rsidRPr="005D0E4C" w:rsidRDefault="00A465C7" w:rsidP="005D0E4C">
      <w:pPr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D74ABB" w:rsidRDefault="00DE38C8" w:rsidP="005D0E4C">
      <w:pPr>
        <w:pStyle w:val="Prrafodelista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0E4C">
        <w:rPr>
          <w:rFonts w:asciiTheme="minorHAnsi" w:hAnsiTheme="minorHAnsi" w:cstheme="minorHAnsi"/>
          <w:sz w:val="24"/>
          <w:szCs w:val="24"/>
        </w:rPr>
        <w:t xml:space="preserve">Perfil y trayectoria profesional de los responsables de la organización: </w:t>
      </w:r>
      <w:r w:rsidR="00D74ABB" w:rsidRPr="005D0E4C">
        <w:rPr>
          <w:rFonts w:asciiTheme="minorHAnsi" w:hAnsiTheme="minorHAnsi" w:cstheme="minorHAnsi"/>
          <w:sz w:val="24"/>
          <w:szCs w:val="24"/>
        </w:rPr>
        <w:t>el artículo 6.1 de la LTAIBG no excluye a ninguno de los</w:t>
      </w:r>
      <w:r w:rsidR="005D0E4C">
        <w:rPr>
          <w:rFonts w:asciiTheme="minorHAnsi" w:hAnsiTheme="minorHAnsi" w:cstheme="minorHAnsi"/>
          <w:sz w:val="24"/>
          <w:szCs w:val="24"/>
        </w:rPr>
        <w:t xml:space="preserve"> </w:t>
      </w:r>
      <w:r w:rsidR="00D74ABB" w:rsidRPr="005D0E4C">
        <w:rPr>
          <w:rFonts w:asciiTheme="minorHAnsi" w:hAnsiTheme="minorHAnsi" w:cstheme="minorHAnsi"/>
          <w:sz w:val="24"/>
          <w:szCs w:val="24"/>
        </w:rPr>
        <w:t>sujetos comprendidos en su ámbito de aplicación y mucho menos, a las Administraciones Públicas –que</w:t>
      </w:r>
      <w:r w:rsidR="0068726D" w:rsidRPr="005D0E4C">
        <w:rPr>
          <w:rFonts w:asciiTheme="minorHAnsi" w:hAnsiTheme="minorHAnsi" w:cstheme="minorHAnsi"/>
          <w:sz w:val="24"/>
          <w:szCs w:val="24"/>
        </w:rPr>
        <w:t>,</w:t>
      </w:r>
      <w:r w:rsidR="00D74ABB" w:rsidRPr="005D0E4C">
        <w:rPr>
          <w:rFonts w:asciiTheme="minorHAnsi" w:hAnsiTheme="minorHAnsi" w:cstheme="minorHAnsi"/>
          <w:sz w:val="24"/>
          <w:szCs w:val="24"/>
        </w:rPr>
        <w:t xml:space="preserve"> según su razonamiento, </w:t>
      </w:r>
      <w:r w:rsidR="00C055AD">
        <w:rPr>
          <w:rFonts w:asciiTheme="minorHAnsi" w:hAnsiTheme="minorHAnsi" w:cstheme="minorHAnsi"/>
          <w:sz w:val="24"/>
          <w:szCs w:val="24"/>
        </w:rPr>
        <w:t xml:space="preserve">también </w:t>
      </w:r>
      <w:r w:rsidR="00D74ABB" w:rsidRPr="005D0E4C">
        <w:rPr>
          <w:rFonts w:asciiTheme="minorHAnsi" w:hAnsiTheme="minorHAnsi" w:cstheme="minorHAnsi"/>
          <w:sz w:val="24"/>
          <w:szCs w:val="24"/>
        </w:rPr>
        <w:t xml:space="preserve">quedarían excluidas </w:t>
      </w:r>
      <w:r w:rsidR="00C055AD">
        <w:rPr>
          <w:rFonts w:asciiTheme="minorHAnsi" w:hAnsiTheme="minorHAnsi" w:cstheme="minorHAnsi"/>
          <w:sz w:val="24"/>
          <w:szCs w:val="24"/>
        </w:rPr>
        <w:t xml:space="preserve">de esta obligación </w:t>
      </w:r>
      <w:r w:rsidR="00D74ABB" w:rsidRPr="005D0E4C">
        <w:rPr>
          <w:rFonts w:asciiTheme="minorHAnsi" w:hAnsiTheme="minorHAnsi" w:cstheme="minorHAnsi"/>
          <w:sz w:val="24"/>
          <w:szCs w:val="24"/>
        </w:rPr>
        <w:t>- por lo que la condición de empleado público no exime de la obligación de informar del perfil y trayectoria profesional de los responsables de los diferentes órganos</w:t>
      </w:r>
      <w:r w:rsidR="00C055AD">
        <w:rPr>
          <w:rFonts w:asciiTheme="minorHAnsi" w:hAnsiTheme="minorHAnsi" w:cstheme="minorHAnsi"/>
          <w:sz w:val="24"/>
          <w:szCs w:val="24"/>
        </w:rPr>
        <w:t>; es más, puede considerarse implícita en la condición de empleado público, que percibe sus retribuciones con cargo a fondos públicos.</w:t>
      </w:r>
    </w:p>
    <w:p w:rsidR="00286A34" w:rsidRPr="005D0E4C" w:rsidRDefault="00286A34" w:rsidP="005D0E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0E4C">
        <w:rPr>
          <w:rFonts w:asciiTheme="minorHAnsi" w:hAnsiTheme="minorHAnsi" w:cstheme="minorHAnsi"/>
          <w:sz w:val="24"/>
          <w:szCs w:val="24"/>
        </w:rPr>
        <w:t xml:space="preserve">Por lo que respecta a la </w:t>
      </w:r>
      <w:r w:rsidRPr="005A2F93">
        <w:rPr>
          <w:rFonts w:asciiTheme="minorHAnsi" w:hAnsiTheme="minorHAnsi" w:cstheme="minorHAnsi"/>
          <w:sz w:val="24"/>
          <w:szCs w:val="24"/>
        </w:rPr>
        <w:t>calidad</w:t>
      </w:r>
      <w:r w:rsidRPr="005D0E4C">
        <w:rPr>
          <w:rFonts w:asciiTheme="minorHAnsi" w:hAnsiTheme="minorHAnsi" w:cstheme="minorHAnsi"/>
          <w:sz w:val="24"/>
          <w:szCs w:val="24"/>
        </w:rPr>
        <w:t xml:space="preserve"> de la información cabe informar cuanto sigue:</w:t>
      </w:r>
    </w:p>
    <w:p w:rsidR="00286A34" w:rsidRPr="005A2F93" w:rsidRDefault="00286A34" w:rsidP="005A2F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F93">
        <w:rPr>
          <w:rFonts w:asciiTheme="minorHAnsi" w:hAnsiTheme="minorHAnsi" w:cstheme="minorHAnsi"/>
          <w:sz w:val="24"/>
          <w:szCs w:val="24"/>
        </w:rPr>
        <w:t xml:space="preserve">Reutilizable: efectivamente, el artículo 5 de la LTAIBG señala que la información se ofrecerá </w:t>
      </w:r>
      <w:r w:rsidRPr="005A2F93">
        <w:rPr>
          <w:rFonts w:asciiTheme="minorHAnsi" w:hAnsiTheme="minorHAnsi" w:cstheme="minorHAnsi"/>
          <w:i/>
          <w:sz w:val="24"/>
          <w:szCs w:val="24"/>
        </w:rPr>
        <w:t xml:space="preserve">preferentemente </w:t>
      </w:r>
      <w:r w:rsidRPr="005A2F93">
        <w:rPr>
          <w:rFonts w:asciiTheme="minorHAnsi" w:hAnsiTheme="minorHAnsi" w:cstheme="minorHAnsi"/>
          <w:sz w:val="24"/>
          <w:szCs w:val="24"/>
        </w:rPr>
        <w:t>en formatos reutilizables. Precisamente por ello se prima la información que se ofrece en formato reutilizable frente a la información que se presenta directamente sobre la web o en un pdf de imagen. La pretensión última es materializar la previsión establecida en la LTAIBG y consecuentemente, fomentar la práctica de publicar la información en formatos que permitan su reutilización, de acuerdo con la legislación aplicable en materia de reutilización de la información de sector público</w:t>
      </w:r>
      <w:r w:rsidR="00C055AD">
        <w:rPr>
          <w:rFonts w:asciiTheme="minorHAnsi" w:hAnsiTheme="minorHAnsi" w:cstheme="minorHAnsi"/>
          <w:sz w:val="24"/>
          <w:szCs w:val="24"/>
        </w:rPr>
        <w:t>, antes mencionada</w:t>
      </w:r>
      <w:r w:rsidRPr="005A2F93">
        <w:rPr>
          <w:rFonts w:asciiTheme="minorHAnsi" w:hAnsiTheme="minorHAnsi" w:cstheme="minorHAnsi"/>
          <w:sz w:val="24"/>
          <w:szCs w:val="24"/>
        </w:rPr>
        <w:t>.</w:t>
      </w:r>
    </w:p>
    <w:p w:rsidR="00286A34" w:rsidRDefault="00286A34" w:rsidP="005A2F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120" w:after="120" w:line="312" w:lineRule="auto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5A2F93">
        <w:rPr>
          <w:rFonts w:asciiTheme="minorHAnsi" w:eastAsia="Arial Unicode MS" w:hAnsiTheme="minorHAnsi" w:cstheme="minorHAnsi"/>
          <w:color w:val="000000"/>
          <w:sz w:val="24"/>
          <w:szCs w:val="24"/>
        </w:rPr>
        <w:t>Actualizada: no basta con que la corporación asegure que la información se encuentra actualizada</w:t>
      </w:r>
      <w:r w:rsidR="0068726D" w:rsidRPr="005A2F93">
        <w:rPr>
          <w:rFonts w:asciiTheme="minorHAnsi" w:eastAsia="Arial Unicode MS" w:hAnsiTheme="minorHAnsi" w:cstheme="minorHAnsi"/>
          <w:color w:val="000000"/>
          <w:sz w:val="24"/>
          <w:szCs w:val="24"/>
        </w:rPr>
        <w:t>;</w:t>
      </w:r>
      <w:r w:rsidR="005D0E4C" w:rsidRPr="005A2F93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5A2F93">
        <w:rPr>
          <w:rFonts w:asciiTheme="minorHAnsi" w:eastAsia="Arial Unicode MS" w:hAnsiTheme="minorHAnsi" w:cstheme="minorHAnsi"/>
          <w:color w:val="000000"/>
          <w:sz w:val="24"/>
          <w:szCs w:val="24"/>
        </w:rPr>
        <w:t>es necesario que el ciudadano pueda saberlo sin necesidad de una actividad adicional</w:t>
      </w:r>
      <w:r w:rsidR="0068726D" w:rsidRPr="005A2F93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, salvo-obviamente- la remisión a las versiones consolidadas del BOE. </w:t>
      </w:r>
    </w:p>
    <w:p w:rsidR="005D0E4C" w:rsidRPr="005D0E4C" w:rsidRDefault="0068726D" w:rsidP="005D0E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0E4C">
        <w:rPr>
          <w:rFonts w:asciiTheme="minorHAnsi" w:hAnsiTheme="minorHAnsi" w:cstheme="minorHAnsi"/>
          <w:sz w:val="24"/>
          <w:szCs w:val="24"/>
        </w:rPr>
        <w:t>Información económica</w:t>
      </w:r>
      <w:r w:rsidR="005D0E4C" w:rsidRPr="005D0E4C">
        <w:rPr>
          <w:rFonts w:asciiTheme="minorHAnsi" w:hAnsiTheme="minorHAnsi" w:cstheme="minorHAnsi"/>
          <w:sz w:val="24"/>
          <w:szCs w:val="24"/>
        </w:rPr>
        <w:t>: debe explicitarse la circunstancia de no disponer de información, ya que el ciudadano no tiene por qué deducir que la omisión de una determinada información pueda equivaler</w:t>
      </w:r>
      <w:r w:rsidR="005D0E4C">
        <w:rPr>
          <w:rFonts w:asciiTheme="minorHAnsi" w:hAnsiTheme="minorHAnsi" w:cstheme="minorHAnsi"/>
          <w:sz w:val="24"/>
          <w:szCs w:val="24"/>
        </w:rPr>
        <w:t xml:space="preserve"> </w:t>
      </w:r>
      <w:r w:rsidR="005D0E4C" w:rsidRPr="005D0E4C">
        <w:rPr>
          <w:rFonts w:asciiTheme="minorHAnsi" w:hAnsiTheme="minorHAnsi" w:cstheme="minorHAnsi"/>
          <w:sz w:val="24"/>
          <w:szCs w:val="24"/>
        </w:rPr>
        <w:t xml:space="preserve">en todo caso a su inexistencia. </w:t>
      </w:r>
    </w:p>
    <w:p w:rsidR="007647D9" w:rsidRDefault="0068726D" w:rsidP="005A2F93">
      <w:pPr>
        <w:pStyle w:val="Prrafodelista"/>
        <w:numPr>
          <w:ilvl w:val="0"/>
          <w:numId w:val="13"/>
        </w:numPr>
        <w:spacing w:before="120" w:after="120" w:line="312" w:lineRule="auto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0E4C">
        <w:rPr>
          <w:rFonts w:asciiTheme="minorHAnsi" w:hAnsiTheme="minorHAnsi" w:cstheme="minorHAnsi"/>
          <w:sz w:val="24"/>
          <w:szCs w:val="24"/>
        </w:rPr>
        <w:t>Contratos sujetos a derecho administrativo</w:t>
      </w:r>
      <w:r w:rsidR="005A2F93">
        <w:rPr>
          <w:rFonts w:asciiTheme="minorHAnsi" w:hAnsiTheme="minorHAnsi" w:cstheme="minorHAnsi"/>
          <w:sz w:val="24"/>
          <w:szCs w:val="24"/>
        </w:rPr>
        <w:t>: al margen de las observaciones vertidas en su informe sobre la no consideración de</w:t>
      </w:r>
      <w:r w:rsidR="00E73307">
        <w:rPr>
          <w:rFonts w:asciiTheme="minorHAnsi" w:hAnsiTheme="minorHAnsi" w:cstheme="minorHAnsi"/>
          <w:sz w:val="24"/>
          <w:szCs w:val="24"/>
        </w:rPr>
        <w:t>l</w:t>
      </w:r>
      <w:r w:rsidR="005A2F93">
        <w:rPr>
          <w:rFonts w:asciiTheme="minorHAnsi" w:hAnsiTheme="minorHAnsi" w:cstheme="minorHAnsi"/>
          <w:sz w:val="24"/>
          <w:szCs w:val="24"/>
        </w:rPr>
        <w:t xml:space="preserve"> COSITAL como poder adjudicador, lo cierto es que se trata de una obligación de publicidad activa a la que se encuentran sujetas las corporaciones de Derecho Público, tanto en esa vertiente de posible poder adjudicador como en la vertiente de posible adjudicatario de un contrato sujeto a derecho administrativo. Y </w:t>
      </w:r>
      <w:r w:rsidR="005A2F93" w:rsidRPr="005D0E4C">
        <w:rPr>
          <w:rFonts w:asciiTheme="minorHAnsi" w:hAnsiTheme="minorHAnsi" w:cstheme="minorHAnsi"/>
          <w:sz w:val="24"/>
          <w:szCs w:val="24"/>
        </w:rPr>
        <w:t>debe explicitarse la circunstancia de no disponer de información ya que</w:t>
      </w:r>
      <w:r w:rsidR="00C055AD">
        <w:rPr>
          <w:rFonts w:asciiTheme="minorHAnsi" w:hAnsiTheme="minorHAnsi" w:cstheme="minorHAnsi"/>
          <w:sz w:val="24"/>
          <w:szCs w:val="24"/>
        </w:rPr>
        <w:t>,</w:t>
      </w:r>
      <w:r w:rsidR="005A2F93" w:rsidRPr="005D0E4C">
        <w:rPr>
          <w:rFonts w:asciiTheme="minorHAnsi" w:hAnsiTheme="minorHAnsi" w:cstheme="minorHAnsi"/>
          <w:sz w:val="24"/>
          <w:szCs w:val="24"/>
        </w:rPr>
        <w:t xml:space="preserve"> </w:t>
      </w:r>
      <w:r w:rsidR="00C055AD">
        <w:rPr>
          <w:rFonts w:asciiTheme="minorHAnsi" w:hAnsiTheme="minorHAnsi" w:cstheme="minorHAnsi"/>
          <w:sz w:val="24"/>
          <w:szCs w:val="24"/>
        </w:rPr>
        <w:t xml:space="preserve">como se ha expuesto, </w:t>
      </w:r>
      <w:r w:rsidR="005A2F93" w:rsidRPr="005D0E4C">
        <w:rPr>
          <w:rFonts w:asciiTheme="minorHAnsi" w:hAnsiTheme="minorHAnsi" w:cstheme="minorHAnsi"/>
          <w:sz w:val="24"/>
          <w:szCs w:val="24"/>
        </w:rPr>
        <w:t xml:space="preserve">el ciudadano no tiene por qué deducir que la </w:t>
      </w:r>
      <w:r w:rsidR="005A2F93" w:rsidRPr="005D0E4C">
        <w:rPr>
          <w:rFonts w:asciiTheme="minorHAnsi" w:hAnsiTheme="minorHAnsi" w:cstheme="minorHAnsi"/>
          <w:sz w:val="24"/>
          <w:szCs w:val="24"/>
        </w:rPr>
        <w:lastRenderedPageBreak/>
        <w:t>omisión de una determinada información pueda equivaler</w:t>
      </w:r>
      <w:r w:rsidR="005A2F93">
        <w:rPr>
          <w:rFonts w:asciiTheme="minorHAnsi" w:hAnsiTheme="minorHAnsi" w:cstheme="minorHAnsi"/>
          <w:sz w:val="24"/>
          <w:szCs w:val="24"/>
        </w:rPr>
        <w:t xml:space="preserve"> </w:t>
      </w:r>
      <w:r w:rsidR="005A2F93" w:rsidRPr="005D0E4C">
        <w:rPr>
          <w:rFonts w:asciiTheme="minorHAnsi" w:hAnsiTheme="minorHAnsi" w:cstheme="minorHAnsi"/>
          <w:sz w:val="24"/>
          <w:szCs w:val="24"/>
        </w:rPr>
        <w:t>en todo caso a su inexistencia</w:t>
      </w:r>
      <w:r w:rsidR="007647D9">
        <w:rPr>
          <w:rFonts w:asciiTheme="minorHAnsi" w:hAnsiTheme="minorHAnsi" w:cstheme="minorHAnsi"/>
          <w:sz w:val="24"/>
          <w:szCs w:val="24"/>
        </w:rPr>
        <w:t>.</w:t>
      </w:r>
    </w:p>
    <w:p w:rsidR="005D0E4C" w:rsidRPr="00A465C7" w:rsidRDefault="0068726D" w:rsidP="005D0E4C">
      <w:pPr>
        <w:pStyle w:val="Sinespaciado"/>
        <w:numPr>
          <w:ilvl w:val="0"/>
          <w:numId w:val="16"/>
        </w:numPr>
        <w:spacing w:before="120" w:after="120" w:line="312" w:lineRule="auto"/>
        <w:jc w:val="both"/>
        <w:rPr>
          <w:rFonts w:cstheme="minorHAnsi"/>
          <w:szCs w:val="24"/>
        </w:rPr>
      </w:pPr>
      <w:r w:rsidRPr="007647D9">
        <w:rPr>
          <w:rFonts w:cstheme="minorHAnsi"/>
          <w:sz w:val="24"/>
          <w:szCs w:val="24"/>
        </w:rPr>
        <w:t>Subvenciones y ayuda públicas</w:t>
      </w:r>
      <w:r w:rsidR="007647D9" w:rsidRPr="007647D9">
        <w:rPr>
          <w:rFonts w:cstheme="minorHAnsi"/>
          <w:sz w:val="24"/>
          <w:szCs w:val="24"/>
        </w:rPr>
        <w:t>: la existencia de la Base Nacional de Subvenciones</w:t>
      </w:r>
      <w:r w:rsidR="005D0E4C" w:rsidRPr="007647D9">
        <w:rPr>
          <w:rFonts w:cstheme="minorHAnsi"/>
          <w:sz w:val="24"/>
          <w:szCs w:val="24"/>
        </w:rPr>
        <w:t xml:space="preserve"> </w:t>
      </w:r>
      <w:r w:rsidR="007647D9" w:rsidRPr="007647D9">
        <w:rPr>
          <w:rFonts w:cstheme="minorHAnsi"/>
          <w:sz w:val="24"/>
          <w:szCs w:val="24"/>
        </w:rPr>
        <w:t>no excluye de la obligación de publicar las subvenciones y ayudas públicas percibidas, sin que fuera suficiente, a estos efectos, la remisión a una base de datos centralizada que obedece a otros fines. En la medida de lo posible debe procurarse que el acceso a la información sea directo y en su caso, explicitarse la circunstancia de no disponer de esta información. Por supuesto, han de tratarse de ayudas y subvenciones públicas percibidas por ese Consejo General, no por los colegios territoriales, a los que también incumben las obligaciones de publicidad activa y que, por tanto, deberán de articular los mecanismos precisos para cumplir con las mismas.</w:t>
      </w:r>
    </w:p>
    <w:p w:rsidR="00F52A31" w:rsidRPr="00A465C7" w:rsidRDefault="005D0E4C" w:rsidP="005D0E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Cs w:val="24"/>
        </w:rPr>
      </w:pPr>
      <w:r w:rsidRPr="00A465C7">
        <w:rPr>
          <w:rFonts w:asciiTheme="minorHAnsi" w:hAnsiTheme="minorHAnsi" w:cstheme="minorHAnsi"/>
          <w:sz w:val="24"/>
          <w:szCs w:val="24"/>
        </w:rPr>
        <w:t>Expuesto lo anterior, s</w:t>
      </w:r>
      <w:r w:rsidR="00F5121D" w:rsidRPr="00A465C7">
        <w:rPr>
          <w:rFonts w:asciiTheme="minorHAnsi" w:hAnsiTheme="minorHAnsi" w:cstheme="minorHAnsi"/>
          <w:sz w:val="24"/>
          <w:szCs w:val="24"/>
        </w:rPr>
        <w:t xml:space="preserve">e aceptan las </w:t>
      </w:r>
      <w:r w:rsidR="003F0972" w:rsidRPr="00A465C7">
        <w:rPr>
          <w:rFonts w:asciiTheme="minorHAnsi" w:hAnsiTheme="minorHAnsi" w:cstheme="minorHAnsi"/>
          <w:sz w:val="24"/>
          <w:szCs w:val="24"/>
        </w:rPr>
        <w:t xml:space="preserve">siguientes modificaciones </w:t>
      </w:r>
      <w:r w:rsidR="00F5121D" w:rsidRPr="00A465C7">
        <w:rPr>
          <w:rFonts w:asciiTheme="minorHAnsi" w:hAnsiTheme="minorHAnsi" w:cstheme="minorHAnsi"/>
          <w:sz w:val="24"/>
          <w:szCs w:val="24"/>
        </w:rPr>
        <w:t xml:space="preserve">introducidas por el </w:t>
      </w:r>
      <w:r w:rsidR="003F0972" w:rsidRPr="00A465C7">
        <w:rPr>
          <w:rFonts w:asciiTheme="minorHAnsi" w:hAnsiTheme="minorHAnsi" w:cstheme="minorHAnsi"/>
          <w:sz w:val="24"/>
          <w:szCs w:val="24"/>
        </w:rPr>
        <w:t>C</w:t>
      </w:r>
      <w:r w:rsidRPr="00A465C7">
        <w:rPr>
          <w:rFonts w:asciiTheme="minorHAnsi" w:hAnsiTheme="minorHAnsi" w:cstheme="minorHAnsi"/>
          <w:sz w:val="24"/>
          <w:szCs w:val="24"/>
        </w:rPr>
        <w:t>OSITAL</w:t>
      </w:r>
      <w:r w:rsidR="003F0972" w:rsidRPr="00A465C7">
        <w:rPr>
          <w:rFonts w:asciiTheme="minorHAnsi" w:hAnsiTheme="minorHAnsi" w:cstheme="minorHAnsi"/>
          <w:sz w:val="24"/>
          <w:szCs w:val="24"/>
        </w:rPr>
        <w:t>:</w:t>
      </w:r>
      <w:r w:rsidRPr="00A465C7">
        <w:rPr>
          <w:rFonts w:asciiTheme="minorHAnsi" w:hAnsiTheme="minorHAnsi" w:cstheme="minorHAnsi"/>
          <w:sz w:val="24"/>
          <w:szCs w:val="24"/>
        </w:rPr>
        <w:t xml:space="preserve"> </w:t>
      </w:r>
      <w:r w:rsidR="00A465C7">
        <w:rPr>
          <w:rFonts w:asciiTheme="minorHAnsi" w:hAnsiTheme="minorHAnsi" w:cstheme="minorHAnsi"/>
          <w:sz w:val="24"/>
          <w:szCs w:val="24"/>
        </w:rPr>
        <w:t>l</w:t>
      </w:r>
      <w:r w:rsidR="003F0972" w:rsidRPr="00A465C7">
        <w:rPr>
          <w:rFonts w:asciiTheme="minorHAnsi" w:hAnsiTheme="minorHAnsi" w:cstheme="minorHAnsi"/>
          <w:sz w:val="24"/>
          <w:szCs w:val="24"/>
        </w:rPr>
        <w:t xml:space="preserve">a </w:t>
      </w:r>
      <w:r w:rsidR="00F52A31" w:rsidRPr="00A465C7">
        <w:rPr>
          <w:rFonts w:asciiTheme="minorHAnsi" w:hAnsiTheme="minorHAnsi" w:cstheme="minorHAnsi"/>
          <w:sz w:val="24"/>
          <w:szCs w:val="24"/>
        </w:rPr>
        <w:t>inclusión</w:t>
      </w:r>
      <w:r w:rsidR="009063CE" w:rsidRPr="00A465C7">
        <w:rPr>
          <w:rFonts w:asciiTheme="minorHAnsi" w:hAnsiTheme="minorHAnsi" w:cstheme="minorHAnsi"/>
          <w:sz w:val="24"/>
          <w:szCs w:val="24"/>
        </w:rPr>
        <w:t xml:space="preserve"> de </w:t>
      </w:r>
      <w:r w:rsidR="00F52A31" w:rsidRPr="00A465C7">
        <w:rPr>
          <w:rFonts w:asciiTheme="minorHAnsi" w:hAnsiTheme="minorHAnsi" w:cstheme="minorHAnsi"/>
          <w:sz w:val="24"/>
          <w:szCs w:val="24"/>
        </w:rPr>
        <w:t>la Ley 2/1974</w:t>
      </w:r>
      <w:r w:rsidR="00DE38C8" w:rsidRPr="00A465C7">
        <w:rPr>
          <w:rFonts w:asciiTheme="minorHAnsi" w:hAnsiTheme="minorHAnsi" w:cstheme="minorHAnsi"/>
          <w:sz w:val="24"/>
          <w:szCs w:val="24"/>
        </w:rPr>
        <w:t xml:space="preserve"> y el organigrama</w:t>
      </w:r>
      <w:r w:rsidR="00A465C7" w:rsidRPr="00A465C7">
        <w:rPr>
          <w:rFonts w:asciiTheme="minorHAnsi" w:hAnsiTheme="minorHAnsi" w:cstheme="minorHAnsi"/>
          <w:sz w:val="24"/>
          <w:szCs w:val="24"/>
        </w:rPr>
        <w:t xml:space="preserve">, </w:t>
      </w:r>
      <w:r w:rsidR="00CF2978">
        <w:rPr>
          <w:rFonts w:asciiTheme="minorHAnsi" w:hAnsiTheme="minorHAnsi" w:cstheme="minorHAnsi"/>
          <w:sz w:val="24"/>
          <w:szCs w:val="24"/>
        </w:rPr>
        <w:t xml:space="preserve">el </w:t>
      </w:r>
      <w:r w:rsidR="00CF2978" w:rsidRPr="005D0E4C">
        <w:rPr>
          <w:rFonts w:asciiTheme="minorHAnsi" w:hAnsiTheme="minorHAnsi" w:cstheme="minorHAnsi"/>
          <w:sz w:val="24"/>
          <w:szCs w:val="24"/>
        </w:rPr>
        <w:t>Registro de actividades de tratamiento</w:t>
      </w:r>
      <w:r w:rsidR="00CF2978">
        <w:rPr>
          <w:rFonts w:asciiTheme="minorHAnsi" w:hAnsiTheme="minorHAnsi" w:cstheme="minorHAnsi"/>
          <w:sz w:val="24"/>
          <w:szCs w:val="24"/>
        </w:rPr>
        <w:t>,</w:t>
      </w:r>
      <w:r w:rsidR="00CF2978" w:rsidRPr="00A465C7">
        <w:rPr>
          <w:rFonts w:asciiTheme="minorHAnsi" w:hAnsiTheme="minorHAnsi" w:cstheme="minorHAnsi"/>
          <w:sz w:val="24"/>
          <w:szCs w:val="24"/>
        </w:rPr>
        <w:t xml:space="preserve"> </w:t>
      </w:r>
      <w:r w:rsidR="00A465C7" w:rsidRPr="00A465C7">
        <w:rPr>
          <w:rFonts w:asciiTheme="minorHAnsi" w:hAnsiTheme="minorHAnsi" w:cstheme="minorHAnsi"/>
          <w:sz w:val="24"/>
          <w:szCs w:val="24"/>
        </w:rPr>
        <w:t>así como la</w:t>
      </w:r>
      <w:r w:rsidR="00A465C7">
        <w:rPr>
          <w:rFonts w:asciiTheme="minorHAnsi" w:hAnsiTheme="minorHAnsi" w:cstheme="minorHAnsi"/>
          <w:sz w:val="24"/>
          <w:szCs w:val="24"/>
        </w:rPr>
        <w:t xml:space="preserve"> </w:t>
      </w:r>
      <w:r w:rsidR="00086C3F" w:rsidRPr="00A465C7">
        <w:rPr>
          <w:rFonts w:asciiTheme="minorHAnsi" w:hAnsiTheme="minorHAnsi" w:cstheme="minorHAnsi"/>
          <w:szCs w:val="24"/>
        </w:rPr>
        <w:t>publicación de</w:t>
      </w:r>
      <w:r w:rsidR="009063CE" w:rsidRPr="00A465C7">
        <w:rPr>
          <w:rFonts w:asciiTheme="minorHAnsi" w:hAnsiTheme="minorHAnsi" w:cstheme="minorHAnsi"/>
          <w:szCs w:val="24"/>
        </w:rPr>
        <w:t xml:space="preserve"> </w:t>
      </w:r>
      <w:r w:rsidR="00A465C7">
        <w:rPr>
          <w:rFonts w:asciiTheme="minorHAnsi" w:hAnsiTheme="minorHAnsi" w:cstheme="minorHAnsi"/>
          <w:szCs w:val="24"/>
        </w:rPr>
        <w:t xml:space="preserve">la información sobre </w:t>
      </w:r>
      <w:r w:rsidR="00F52A31" w:rsidRPr="00A465C7">
        <w:rPr>
          <w:rFonts w:asciiTheme="minorHAnsi" w:hAnsiTheme="minorHAnsi" w:cstheme="minorHAnsi"/>
          <w:szCs w:val="24"/>
        </w:rPr>
        <w:t xml:space="preserve">convenios. </w:t>
      </w:r>
    </w:p>
    <w:p w:rsidR="006F17B5" w:rsidRPr="005D0E4C" w:rsidRDefault="006F17B5" w:rsidP="005D0E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0E4C">
        <w:rPr>
          <w:rFonts w:asciiTheme="minorHAnsi" w:hAnsiTheme="minorHAnsi" w:cstheme="minorHAnsi"/>
          <w:sz w:val="24"/>
          <w:szCs w:val="24"/>
        </w:rPr>
        <w:t>Tras la revisión efectuada por parte de este Consejo, el Indicador de Cumplimiento de la Información Obligatoria correspondiente a</w:t>
      </w:r>
      <w:r w:rsidR="00CF0704" w:rsidRPr="005D0E4C">
        <w:rPr>
          <w:rFonts w:asciiTheme="minorHAnsi" w:hAnsiTheme="minorHAnsi" w:cstheme="minorHAnsi"/>
          <w:sz w:val="24"/>
          <w:szCs w:val="24"/>
        </w:rPr>
        <w:t>l</w:t>
      </w:r>
      <w:r w:rsidRPr="005D0E4C">
        <w:rPr>
          <w:rFonts w:asciiTheme="minorHAnsi" w:hAnsiTheme="minorHAnsi" w:cstheme="minorHAnsi"/>
          <w:sz w:val="24"/>
          <w:szCs w:val="24"/>
        </w:rPr>
        <w:t xml:space="preserve"> </w:t>
      </w:r>
      <w:r w:rsidR="005D0E4C" w:rsidRPr="005D0E4C">
        <w:rPr>
          <w:rFonts w:asciiTheme="minorHAnsi" w:hAnsiTheme="minorHAnsi" w:cstheme="minorHAnsi"/>
          <w:sz w:val="24"/>
          <w:szCs w:val="24"/>
          <w:lang w:bidi="es-ES"/>
        </w:rPr>
        <w:t>Consejo General de Secretarios, Interventores y Tesoreros de Administración Local</w:t>
      </w:r>
      <w:r w:rsidR="00462D06" w:rsidRPr="005D0E4C">
        <w:rPr>
          <w:rFonts w:asciiTheme="minorHAnsi" w:hAnsiTheme="minorHAnsi" w:cstheme="minorHAnsi"/>
          <w:sz w:val="24"/>
          <w:szCs w:val="24"/>
        </w:rPr>
        <w:t xml:space="preserve"> </w:t>
      </w:r>
      <w:r w:rsidRPr="005D0E4C">
        <w:rPr>
          <w:rFonts w:asciiTheme="minorHAnsi" w:hAnsiTheme="minorHAnsi" w:cstheme="minorHAnsi"/>
          <w:sz w:val="24"/>
          <w:szCs w:val="24"/>
        </w:rPr>
        <w:t xml:space="preserve">se sitúa en el </w:t>
      </w:r>
      <w:r w:rsidR="00CF2978">
        <w:rPr>
          <w:rFonts w:asciiTheme="minorHAnsi" w:hAnsiTheme="minorHAnsi" w:cstheme="minorHAnsi"/>
          <w:sz w:val="24"/>
          <w:szCs w:val="24"/>
        </w:rPr>
        <w:t xml:space="preserve">44,90 </w:t>
      </w:r>
      <w:r w:rsidR="005D0E4C" w:rsidRPr="005D0E4C">
        <w:rPr>
          <w:rFonts w:asciiTheme="minorHAnsi" w:hAnsiTheme="minorHAnsi" w:cstheme="minorHAnsi"/>
          <w:sz w:val="24"/>
          <w:szCs w:val="24"/>
        </w:rPr>
        <w:t>%</w:t>
      </w:r>
      <w:r w:rsidRPr="005D0E4C">
        <w:rPr>
          <w:rFonts w:asciiTheme="minorHAnsi" w:hAnsiTheme="minorHAnsi" w:cstheme="minorHAnsi"/>
          <w:sz w:val="24"/>
          <w:szCs w:val="24"/>
        </w:rPr>
        <w:t>.</w:t>
      </w:r>
    </w:p>
    <w:p w:rsidR="00AC3FBC" w:rsidRPr="005D0E4C" w:rsidRDefault="00BD3538" w:rsidP="005D0E4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12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0E4C">
        <w:rPr>
          <w:rFonts w:asciiTheme="minorHAnsi" w:hAnsiTheme="minorHAnsi" w:cstheme="minorHAnsi"/>
          <w:sz w:val="24"/>
          <w:szCs w:val="24"/>
        </w:rPr>
        <w:t xml:space="preserve">Este Consejo </w:t>
      </w:r>
      <w:r w:rsidR="00994F73" w:rsidRPr="005D0E4C">
        <w:rPr>
          <w:rFonts w:asciiTheme="minorHAnsi" w:hAnsiTheme="minorHAnsi" w:cstheme="minorHAnsi"/>
          <w:sz w:val="24"/>
          <w:szCs w:val="24"/>
        </w:rPr>
        <w:t xml:space="preserve">valora muy positivamente </w:t>
      </w:r>
      <w:r w:rsidR="00AC3FBC" w:rsidRPr="005D0E4C">
        <w:rPr>
          <w:rFonts w:asciiTheme="minorHAnsi" w:hAnsiTheme="minorHAnsi" w:cstheme="minorHAnsi"/>
          <w:sz w:val="24"/>
          <w:szCs w:val="24"/>
        </w:rPr>
        <w:t>la proactividad de</w:t>
      </w:r>
      <w:r w:rsidR="00E73307">
        <w:rPr>
          <w:rFonts w:asciiTheme="minorHAnsi" w:hAnsiTheme="minorHAnsi" w:cstheme="minorHAnsi"/>
          <w:sz w:val="24"/>
          <w:szCs w:val="24"/>
        </w:rPr>
        <w:t>l</w:t>
      </w:r>
      <w:r w:rsidR="00AC3FBC" w:rsidRPr="005D0E4C">
        <w:rPr>
          <w:rFonts w:asciiTheme="minorHAnsi" w:hAnsiTheme="minorHAnsi" w:cstheme="minorHAnsi"/>
          <w:sz w:val="24"/>
          <w:szCs w:val="24"/>
        </w:rPr>
        <w:t xml:space="preserve"> </w:t>
      </w:r>
      <w:r w:rsidR="005D0E4C" w:rsidRPr="005D0E4C">
        <w:rPr>
          <w:rFonts w:asciiTheme="minorHAnsi" w:hAnsiTheme="minorHAnsi" w:cstheme="minorHAnsi"/>
          <w:sz w:val="24"/>
          <w:szCs w:val="24"/>
        </w:rPr>
        <w:t xml:space="preserve">COSITAL </w:t>
      </w:r>
      <w:r w:rsidR="00AC3FBC" w:rsidRPr="005D0E4C">
        <w:rPr>
          <w:rFonts w:asciiTheme="minorHAnsi" w:hAnsiTheme="minorHAnsi" w:cstheme="minorHAnsi"/>
          <w:sz w:val="24"/>
          <w:szCs w:val="24"/>
        </w:rPr>
        <w:t>en la mejora de su</w:t>
      </w:r>
      <w:r w:rsidR="007647D9">
        <w:rPr>
          <w:rFonts w:asciiTheme="minorHAnsi" w:hAnsiTheme="minorHAnsi" w:cstheme="minorHAnsi"/>
          <w:sz w:val="24"/>
          <w:szCs w:val="24"/>
        </w:rPr>
        <w:t>s obligaciones de publicidad activa de acuerdo con la LTAIBG</w:t>
      </w:r>
      <w:r w:rsidR="00A465C7">
        <w:rPr>
          <w:rFonts w:asciiTheme="minorHAnsi" w:hAnsiTheme="minorHAnsi" w:cstheme="minorHAnsi"/>
          <w:sz w:val="24"/>
          <w:szCs w:val="24"/>
        </w:rPr>
        <w:t xml:space="preserve"> </w:t>
      </w:r>
      <w:r w:rsidR="00AC3FBC" w:rsidRPr="005D0E4C">
        <w:rPr>
          <w:rFonts w:asciiTheme="minorHAnsi" w:hAnsiTheme="minorHAnsi" w:cstheme="minorHAnsi"/>
          <w:sz w:val="24"/>
          <w:szCs w:val="24"/>
        </w:rPr>
        <w:t xml:space="preserve">y </w:t>
      </w:r>
      <w:r w:rsidR="005D0E4C" w:rsidRPr="005D0E4C">
        <w:rPr>
          <w:rFonts w:asciiTheme="minorHAnsi" w:hAnsiTheme="minorHAnsi" w:cstheme="minorHAnsi"/>
          <w:sz w:val="24"/>
          <w:szCs w:val="24"/>
        </w:rPr>
        <w:t>le anima</w:t>
      </w:r>
      <w:r w:rsidR="00AC3FBC" w:rsidRPr="005D0E4C">
        <w:rPr>
          <w:rFonts w:asciiTheme="minorHAnsi" w:hAnsiTheme="minorHAnsi" w:cstheme="minorHAnsi"/>
          <w:sz w:val="24"/>
          <w:szCs w:val="24"/>
        </w:rPr>
        <w:t xml:space="preserve"> a aplicar las recomendaciones efectuadas, algunas de ellas </w:t>
      </w:r>
      <w:r w:rsidR="005D0E4C" w:rsidRPr="005D0E4C">
        <w:rPr>
          <w:rFonts w:asciiTheme="minorHAnsi" w:hAnsiTheme="minorHAnsi" w:cstheme="minorHAnsi"/>
          <w:sz w:val="24"/>
          <w:szCs w:val="24"/>
        </w:rPr>
        <w:t xml:space="preserve">ya asumidas </w:t>
      </w:r>
      <w:r w:rsidR="00AC3FBC" w:rsidRPr="005D0E4C">
        <w:rPr>
          <w:rFonts w:asciiTheme="minorHAnsi" w:hAnsiTheme="minorHAnsi" w:cstheme="minorHAnsi"/>
          <w:sz w:val="24"/>
          <w:szCs w:val="24"/>
        </w:rPr>
        <w:t>en la fase de observaciones al borrador de informe de</w:t>
      </w:r>
      <w:r w:rsidR="005D0E4C">
        <w:rPr>
          <w:rFonts w:asciiTheme="minorHAnsi" w:hAnsiTheme="minorHAnsi" w:cstheme="minorHAnsi"/>
          <w:sz w:val="24"/>
          <w:szCs w:val="24"/>
        </w:rPr>
        <w:t xml:space="preserve"> </w:t>
      </w:r>
      <w:r w:rsidR="00AC3FBC" w:rsidRPr="005D0E4C">
        <w:rPr>
          <w:rFonts w:asciiTheme="minorHAnsi" w:hAnsiTheme="minorHAnsi" w:cstheme="minorHAnsi"/>
          <w:sz w:val="24"/>
          <w:szCs w:val="24"/>
        </w:rPr>
        <w:t>evaluación.</w:t>
      </w:r>
    </w:p>
    <w:p w:rsidR="006F17B5" w:rsidRPr="006445E7" w:rsidRDefault="006F17B5" w:rsidP="002F7C2D">
      <w:pPr>
        <w:autoSpaceDE w:val="0"/>
        <w:autoSpaceDN w:val="0"/>
        <w:adjustRightInd w:val="0"/>
        <w:spacing w:before="120" w:after="120" w:line="312" w:lineRule="auto"/>
        <w:jc w:val="right"/>
        <w:rPr>
          <w:rFonts w:asciiTheme="minorHAnsi" w:hAnsiTheme="minorHAnsi" w:cstheme="minorHAnsi"/>
          <w:szCs w:val="24"/>
        </w:rPr>
      </w:pPr>
      <w:r w:rsidRPr="006445E7">
        <w:rPr>
          <w:rFonts w:asciiTheme="minorHAnsi" w:hAnsiTheme="minorHAnsi" w:cstheme="minorHAnsi"/>
          <w:szCs w:val="24"/>
        </w:rPr>
        <w:t>Madrid,</w:t>
      </w:r>
      <w:r w:rsidR="00086C3F" w:rsidRPr="006445E7">
        <w:rPr>
          <w:rFonts w:asciiTheme="minorHAnsi" w:hAnsiTheme="minorHAnsi" w:cstheme="minorHAnsi"/>
          <w:szCs w:val="24"/>
        </w:rPr>
        <w:t xml:space="preserve"> agosto</w:t>
      </w:r>
      <w:r w:rsidRPr="006445E7">
        <w:rPr>
          <w:rFonts w:asciiTheme="minorHAnsi" w:hAnsiTheme="minorHAnsi" w:cstheme="minorHAnsi"/>
          <w:szCs w:val="24"/>
        </w:rPr>
        <w:t xml:space="preserve"> de 2020</w:t>
      </w:r>
    </w:p>
    <w:sectPr w:rsidR="006F17B5" w:rsidRPr="006445E7" w:rsidSect="00C23F3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D9" w:rsidRDefault="007647D9" w:rsidP="00344FE7">
      <w:pPr>
        <w:spacing w:after="0" w:line="240" w:lineRule="auto"/>
      </w:pPr>
      <w:r>
        <w:separator/>
      </w:r>
    </w:p>
  </w:endnote>
  <w:endnote w:type="continuationSeparator" w:id="0">
    <w:p w:rsidR="007647D9" w:rsidRDefault="007647D9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647D9" w:rsidRPr="00C23F36" w:rsidRDefault="007647D9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AD4619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D9" w:rsidRDefault="007647D9" w:rsidP="00344FE7">
      <w:pPr>
        <w:spacing w:after="0" w:line="240" w:lineRule="auto"/>
      </w:pPr>
      <w:r>
        <w:separator/>
      </w:r>
    </w:p>
  </w:footnote>
  <w:footnote w:type="continuationSeparator" w:id="0">
    <w:p w:rsidR="007647D9" w:rsidRDefault="007647D9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D9" w:rsidRDefault="007647D9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47D9" w:rsidRDefault="007647D9">
    <w:pPr>
      <w:pStyle w:val="Encabezado"/>
    </w:pPr>
  </w:p>
  <w:p w:rsidR="007647D9" w:rsidRDefault="007647D9" w:rsidP="00344FE7">
    <w:pPr>
      <w:pStyle w:val="Encabezado"/>
    </w:pPr>
  </w:p>
  <w:p w:rsidR="007647D9" w:rsidRDefault="007647D9" w:rsidP="00344FE7">
    <w:pPr>
      <w:pStyle w:val="Encabezado"/>
    </w:pPr>
  </w:p>
  <w:p w:rsidR="007647D9" w:rsidRDefault="007647D9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D9" w:rsidRDefault="007647D9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DCB4760"/>
    <w:multiLevelType w:val="hybridMultilevel"/>
    <w:tmpl w:val="F7645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D3B90"/>
    <w:multiLevelType w:val="hybridMultilevel"/>
    <w:tmpl w:val="987EA1AE"/>
    <w:lvl w:ilvl="0" w:tplc="0C0A000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94" w:hanging="360"/>
      </w:pPr>
      <w:rPr>
        <w:rFonts w:ascii="Wingdings" w:hAnsi="Wingdings" w:hint="default"/>
      </w:rPr>
    </w:lvl>
  </w:abstractNum>
  <w:abstractNum w:abstractNumId="2">
    <w:nsid w:val="15841857"/>
    <w:multiLevelType w:val="hybridMultilevel"/>
    <w:tmpl w:val="E6BC7B3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C1782"/>
    <w:multiLevelType w:val="hybridMultilevel"/>
    <w:tmpl w:val="E4AE6606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CB5A7D"/>
    <w:multiLevelType w:val="hybridMultilevel"/>
    <w:tmpl w:val="64C8C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E1DF9"/>
    <w:multiLevelType w:val="hybridMultilevel"/>
    <w:tmpl w:val="D098FA48"/>
    <w:lvl w:ilvl="0" w:tplc="4DD0AE5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28B73EF8"/>
    <w:multiLevelType w:val="hybridMultilevel"/>
    <w:tmpl w:val="E7986890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981"/>
    <w:multiLevelType w:val="hybridMultilevel"/>
    <w:tmpl w:val="28FCD1C8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604E1B"/>
    <w:multiLevelType w:val="hybridMultilevel"/>
    <w:tmpl w:val="2A5A2484"/>
    <w:lvl w:ilvl="0" w:tplc="88860E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07F8F"/>
    <w:multiLevelType w:val="hybridMultilevel"/>
    <w:tmpl w:val="72AE00F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47ECA"/>
    <w:multiLevelType w:val="hybridMultilevel"/>
    <w:tmpl w:val="A70298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840025"/>
    <w:multiLevelType w:val="hybridMultilevel"/>
    <w:tmpl w:val="8926117A"/>
    <w:lvl w:ilvl="0" w:tplc="81DA0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86C3F"/>
    <w:rsid w:val="001257F9"/>
    <w:rsid w:val="0014196C"/>
    <w:rsid w:val="00146642"/>
    <w:rsid w:val="001750A8"/>
    <w:rsid w:val="00175D6C"/>
    <w:rsid w:val="0018324C"/>
    <w:rsid w:val="001B16D9"/>
    <w:rsid w:val="001D0F34"/>
    <w:rsid w:val="001E44BC"/>
    <w:rsid w:val="0022016F"/>
    <w:rsid w:val="002266D1"/>
    <w:rsid w:val="00251194"/>
    <w:rsid w:val="00286A34"/>
    <w:rsid w:val="002F5D0B"/>
    <w:rsid w:val="002F7C2D"/>
    <w:rsid w:val="003259B9"/>
    <w:rsid w:val="00344FE7"/>
    <w:rsid w:val="00351475"/>
    <w:rsid w:val="003656B1"/>
    <w:rsid w:val="003A0194"/>
    <w:rsid w:val="003B5DE7"/>
    <w:rsid w:val="003F0972"/>
    <w:rsid w:val="003F38BD"/>
    <w:rsid w:val="00462D06"/>
    <w:rsid w:val="004B15B8"/>
    <w:rsid w:val="005729B4"/>
    <w:rsid w:val="005A2F93"/>
    <w:rsid w:val="005A33C8"/>
    <w:rsid w:val="005D0E4C"/>
    <w:rsid w:val="0060365B"/>
    <w:rsid w:val="00606BEA"/>
    <w:rsid w:val="00614890"/>
    <w:rsid w:val="006445E7"/>
    <w:rsid w:val="0068726D"/>
    <w:rsid w:val="006F17B5"/>
    <w:rsid w:val="006F5890"/>
    <w:rsid w:val="0071472F"/>
    <w:rsid w:val="007342F2"/>
    <w:rsid w:val="007647D9"/>
    <w:rsid w:val="007A662D"/>
    <w:rsid w:val="007C00E5"/>
    <w:rsid w:val="007C0642"/>
    <w:rsid w:val="007D24E2"/>
    <w:rsid w:val="00815DA2"/>
    <w:rsid w:val="0089717A"/>
    <w:rsid w:val="008B79BD"/>
    <w:rsid w:val="00901F1F"/>
    <w:rsid w:val="009029E0"/>
    <w:rsid w:val="009063CE"/>
    <w:rsid w:val="009557B1"/>
    <w:rsid w:val="00994F73"/>
    <w:rsid w:val="009B7ADA"/>
    <w:rsid w:val="009D2560"/>
    <w:rsid w:val="009D6677"/>
    <w:rsid w:val="009E30AA"/>
    <w:rsid w:val="00A465C7"/>
    <w:rsid w:val="00AC3FBC"/>
    <w:rsid w:val="00AD4619"/>
    <w:rsid w:val="00AE5BF4"/>
    <w:rsid w:val="00B2797F"/>
    <w:rsid w:val="00B31F84"/>
    <w:rsid w:val="00B35A53"/>
    <w:rsid w:val="00BA726B"/>
    <w:rsid w:val="00BC7A82"/>
    <w:rsid w:val="00BD3538"/>
    <w:rsid w:val="00BE34F5"/>
    <w:rsid w:val="00BF5B70"/>
    <w:rsid w:val="00C01613"/>
    <w:rsid w:val="00C055AD"/>
    <w:rsid w:val="00C23F36"/>
    <w:rsid w:val="00C305B6"/>
    <w:rsid w:val="00C3135F"/>
    <w:rsid w:val="00C736B9"/>
    <w:rsid w:val="00C82AB2"/>
    <w:rsid w:val="00CF0704"/>
    <w:rsid w:val="00CF2978"/>
    <w:rsid w:val="00D445A4"/>
    <w:rsid w:val="00D74ABB"/>
    <w:rsid w:val="00D801AD"/>
    <w:rsid w:val="00D818E1"/>
    <w:rsid w:val="00D92E58"/>
    <w:rsid w:val="00DB21EC"/>
    <w:rsid w:val="00DB2AFD"/>
    <w:rsid w:val="00DB2CB4"/>
    <w:rsid w:val="00DB2CCC"/>
    <w:rsid w:val="00DD07B5"/>
    <w:rsid w:val="00DE38C8"/>
    <w:rsid w:val="00E03C82"/>
    <w:rsid w:val="00E35741"/>
    <w:rsid w:val="00E4386D"/>
    <w:rsid w:val="00E5135F"/>
    <w:rsid w:val="00E64F85"/>
    <w:rsid w:val="00E73307"/>
    <w:rsid w:val="00EB2437"/>
    <w:rsid w:val="00EB5D97"/>
    <w:rsid w:val="00EB7058"/>
    <w:rsid w:val="00EC3AAE"/>
    <w:rsid w:val="00ED6FD3"/>
    <w:rsid w:val="00EF5F68"/>
    <w:rsid w:val="00F5121D"/>
    <w:rsid w:val="00F52A31"/>
    <w:rsid w:val="00F6438A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unhideWhenUsed/>
    <w:rsid w:val="00D818E1"/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22016F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Cs w:val="24"/>
    </w:rPr>
  </w:style>
  <w:style w:type="paragraph" w:styleId="Sinespaciado">
    <w:name w:val="No Spacing"/>
    <w:link w:val="SinespaciadoCar"/>
    <w:uiPriority w:val="1"/>
    <w:qFormat/>
    <w:rsid w:val="007647D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47D9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styleId="NormalWeb">
    <w:name w:val="Normal (Web)"/>
    <w:basedOn w:val="Normal"/>
    <w:uiPriority w:val="99"/>
    <w:unhideWhenUsed/>
    <w:rsid w:val="00D818E1"/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22016F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Cs w:val="24"/>
    </w:rPr>
  </w:style>
  <w:style w:type="paragraph" w:styleId="Sinespaciado">
    <w:name w:val="No Spacing"/>
    <w:link w:val="SinespaciadoCar"/>
    <w:uiPriority w:val="1"/>
    <w:qFormat/>
    <w:rsid w:val="007647D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47D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DA3C-F829-4622-A729-52378C79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yolanda.diez</cp:lastModifiedBy>
  <cp:revision>31</cp:revision>
  <cp:lastPrinted>2015-01-27T17:42:00Z</cp:lastPrinted>
  <dcterms:created xsi:type="dcterms:W3CDTF">2020-07-23T10:31:00Z</dcterms:created>
  <dcterms:modified xsi:type="dcterms:W3CDTF">2020-09-08T10:12:00Z</dcterms:modified>
</cp:coreProperties>
</file>