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A7490A">
        <w:t>EL CONSEJO</w:t>
      </w:r>
      <w:r w:rsidR="00134804">
        <w:t xml:space="preserve"> GENERAL DE COLEGIOS OFICIALES DE INGENIERÍA </w:t>
      </w:r>
      <w:r w:rsidR="00B751FC">
        <w:t>INFORMÁTICA</w:t>
      </w:r>
      <w:r w:rsidR="00134804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A72646">
      <w:pPr>
        <w:spacing w:before="120" w:after="120" w:line="312" w:lineRule="auto"/>
        <w:jc w:val="center"/>
        <w:rPr>
          <w:rFonts w:asciiTheme="minorHAnsi" w:hAnsiTheme="minorHAnsi" w:cstheme="minorHAnsi"/>
          <w:szCs w:val="24"/>
        </w:rPr>
      </w:pPr>
    </w:p>
    <w:p w:rsidR="006F17B5" w:rsidRPr="00425B6A" w:rsidRDefault="00134804" w:rsidP="00826C0B">
      <w:pPr>
        <w:tabs>
          <w:tab w:val="left" w:pos="142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425B6A">
        <w:rPr>
          <w:rFonts w:asciiTheme="minorHAnsi" w:hAnsiTheme="minorHAnsi" w:cstheme="minorHAnsi"/>
          <w:szCs w:val="24"/>
        </w:rPr>
        <w:t xml:space="preserve">En contestación al </w:t>
      </w:r>
      <w:r w:rsidR="00B751FC" w:rsidRPr="00425B6A">
        <w:rPr>
          <w:rFonts w:asciiTheme="minorHAnsi" w:hAnsiTheme="minorHAnsi" w:cstheme="minorHAnsi"/>
          <w:szCs w:val="24"/>
        </w:rPr>
        <w:t>informe remitido por el</w:t>
      </w:r>
      <w:r w:rsidR="00425B6A" w:rsidRPr="00425B6A">
        <w:rPr>
          <w:rFonts w:asciiTheme="minorHAnsi" w:hAnsiTheme="minorHAnsi" w:cstheme="minorHAnsi"/>
          <w:szCs w:val="24"/>
        </w:rPr>
        <w:t xml:space="preserve"> </w:t>
      </w:r>
      <w:r w:rsidR="00B751FC" w:rsidRPr="00425B6A">
        <w:rPr>
          <w:rFonts w:asciiTheme="minorHAnsi" w:hAnsiTheme="minorHAnsi" w:cstheme="minorHAnsi"/>
          <w:lang w:bidi="es-ES"/>
        </w:rPr>
        <w:t>Consejo General de Colegios Profesionales de Ingenieros Informáticos</w:t>
      </w:r>
      <w:r w:rsidR="00B751FC" w:rsidRPr="00425B6A">
        <w:rPr>
          <w:rFonts w:asciiTheme="minorHAnsi" w:hAnsiTheme="minorHAnsi" w:cstheme="minorHAnsi"/>
        </w:rPr>
        <w:t xml:space="preserve"> (CCII) </w:t>
      </w:r>
      <w:r w:rsidRPr="00425B6A">
        <w:rPr>
          <w:rFonts w:asciiTheme="minorHAnsi" w:hAnsiTheme="minorHAnsi" w:cstheme="minorHAnsi"/>
          <w:szCs w:val="24"/>
        </w:rPr>
        <w:t xml:space="preserve">en relación con el </w:t>
      </w:r>
      <w:r w:rsidR="006F17B5" w:rsidRPr="00425B6A">
        <w:rPr>
          <w:rFonts w:asciiTheme="minorHAnsi" w:hAnsiTheme="minorHAnsi" w:cstheme="minorHAnsi"/>
          <w:szCs w:val="24"/>
        </w:rPr>
        <w:t xml:space="preserve">informe de evaluación </w:t>
      </w:r>
      <w:r w:rsidRPr="00425B6A">
        <w:rPr>
          <w:rFonts w:asciiTheme="minorHAnsi" w:hAnsiTheme="minorHAnsi" w:cstheme="minorHAnsi"/>
          <w:szCs w:val="24"/>
        </w:rPr>
        <w:t xml:space="preserve">sobre el </w:t>
      </w:r>
      <w:r w:rsidR="006F17B5" w:rsidRPr="00425B6A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A7490A" w:rsidRPr="00425B6A">
        <w:rPr>
          <w:rFonts w:asciiTheme="minorHAnsi" w:hAnsiTheme="minorHAnsi" w:cstheme="minorHAnsi"/>
          <w:szCs w:val="24"/>
        </w:rPr>
        <w:t>corporación</w:t>
      </w:r>
      <w:r w:rsidR="006F17B5" w:rsidRPr="00425B6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425B6A" w:rsidRDefault="006F17B5" w:rsidP="00826C0B">
      <w:pPr>
        <w:pStyle w:val="Prrafodelista"/>
        <w:tabs>
          <w:tab w:val="left" w:pos="142"/>
          <w:tab w:val="left" w:pos="1646"/>
        </w:tabs>
        <w:autoSpaceDE w:val="0"/>
        <w:autoSpaceDN w:val="0"/>
        <w:adjustRightInd w:val="0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B751FC" w:rsidRPr="00425B6A" w:rsidRDefault="00E5724B" w:rsidP="00826C0B">
      <w:pPr>
        <w:pStyle w:val="Ttulo5"/>
        <w:numPr>
          <w:ilvl w:val="0"/>
          <w:numId w:val="7"/>
        </w:numPr>
        <w:spacing w:before="120" w:after="120" w:line="312" w:lineRule="auto"/>
        <w:ind w:left="0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425B6A">
        <w:rPr>
          <w:rFonts w:asciiTheme="minorHAnsi" w:hAnsiTheme="minorHAnsi" w:cstheme="minorHAnsi"/>
          <w:color w:val="auto"/>
          <w:szCs w:val="24"/>
        </w:rPr>
        <w:t>E</w:t>
      </w:r>
      <w:r w:rsidRPr="00425B6A">
        <w:rPr>
          <w:rFonts w:asciiTheme="minorHAnsi" w:eastAsiaTheme="minorHAnsi" w:hAnsiTheme="minorHAnsi" w:cstheme="minorHAnsi"/>
          <w:color w:val="auto"/>
          <w:szCs w:val="24"/>
        </w:rPr>
        <w:t>n</w:t>
      </w:r>
      <w:r w:rsidR="00134804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 </w:t>
      </w:r>
      <w:r w:rsidR="00B751FC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los apartados II y III de su informe </w:t>
      </w:r>
      <w:r w:rsidR="008935F6" w:rsidRPr="00425B6A">
        <w:rPr>
          <w:rFonts w:asciiTheme="minorHAnsi" w:eastAsiaTheme="minorHAnsi" w:hAnsiTheme="minorHAnsi" w:cstheme="minorHAnsi"/>
          <w:color w:val="auto"/>
          <w:szCs w:val="24"/>
        </w:rPr>
        <w:t>ese Consejo</w:t>
      </w:r>
      <w:r w:rsidR="00134804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 señala que </w:t>
      </w:r>
      <w:r w:rsidR="00B751FC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no tiene más estructura que la Junta de Gobierno, razón por la cual únicamente se informa sobre la misma y no se publica un organigrama. </w:t>
      </w:r>
      <w:r w:rsidR="00826C0B" w:rsidRPr="00425B6A">
        <w:rPr>
          <w:rFonts w:asciiTheme="minorHAnsi" w:eastAsiaTheme="minorHAnsi" w:hAnsiTheme="minorHAnsi" w:cstheme="minorHAnsi"/>
          <w:color w:val="auto"/>
          <w:szCs w:val="24"/>
        </w:rPr>
        <w:t>Sin embargo, en el artículo 32. 1 de sus Estatutos se dispone que los</w:t>
      </w:r>
      <w:r w:rsidR="00425B6A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 </w:t>
      </w:r>
      <w:r w:rsidR="00826C0B" w:rsidRPr="00425B6A">
        <w:rPr>
          <w:rFonts w:asciiTheme="minorHAnsi" w:eastAsiaTheme="minorHAnsi" w:hAnsiTheme="minorHAnsi" w:cstheme="minorHAnsi"/>
          <w:color w:val="auto"/>
          <w:szCs w:val="24"/>
        </w:rPr>
        <w:t xml:space="preserve">órganos de Gobierno del Consejo General </w:t>
      </w:r>
      <w:r w:rsidR="00826C0B" w:rsidRPr="00425B6A">
        <w:rPr>
          <w:rFonts w:asciiTheme="minorHAnsi" w:eastAsiaTheme="minorHAnsi" w:hAnsiTheme="minorHAnsi" w:cstheme="minorHAnsi"/>
          <w:i/>
          <w:color w:val="auto"/>
          <w:szCs w:val="24"/>
        </w:rPr>
        <w:t>son la Asamblea General y la Junta de Gobiern</w:t>
      </w:r>
      <w:r w:rsidR="00826C0B" w:rsidRPr="00425B6A">
        <w:rPr>
          <w:rFonts w:asciiTheme="minorHAnsi" w:eastAsia="Times New Roman" w:hAnsiTheme="minorHAnsi" w:cstheme="minorHAnsi"/>
          <w:i/>
          <w:color w:val="auto"/>
          <w:szCs w:val="24"/>
          <w:lang w:eastAsia="es-ES"/>
        </w:rPr>
        <w:t>o</w:t>
      </w:r>
      <w:r w:rsidR="00826C0B" w:rsidRPr="00425B6A">
        <w:rPr>
          <w:rFonts w:asciiTheme="minorHAnsi" w:eastAsia="Times New Roman" w:hAnsiTheme="minorHAnsi" w:cstheme="minorHAnsi"/>
          <w:color w:val="auto"/>
          <w:szCs w:val="24"/>
          <w:lang w:eastAsia="es-ES"/>
        </w:rPr>
        <w:t>. Es por ello que no resulta posible aceptar las alegaciones relativas a la estructura, como tamp</w:t>
      </w:r>
      <w:bookmarkStart w:id="0" w:name="_GoBack"/>
      <w:bookmarkEnd w:id="0"/>
      <w:r w:rsidR="00826C0B" w:rsidRPr="00425B6A">
        <w:rPr>
          <w:rFonts w:asciiTheme="minorHAnsi" w:eastAsia="Times New Roman" w:hAnsiTheme="minorHAnsi" w:cstheme="minorHAnsi"/>
          <w:color w:val="auto"/>
          <w:szCs w:val="24"/>
          <w:lang w:eastAsia="es-ES"/>
        </w:rPr>
        <w:t xml:space="preserve">oco las relacionadas con la ausencia de organigrama. Al respecto, la </w:t>
      </w:r>
      <w:r w:rsidR="00826C0B" w:rsidRPr="00425B6A">
        <w:rPr>
          <w:rFonts w:asciiTheme="minorHAnsi" w:hAnsiTheme="minorHAnsi" w:cstheme="minorHAnsi"/>
          <w:color w:val="auto"/>
          <w:szCs w:val="24"/>
        </w:rPr>
        <w:t>Ley 19/2013, de 9 de diciembre, se refiere a la publicación del organigrama de la corporación, esto es, la representación gráfica de la estructura de ese Consejo, que debe incluir las estructuras departamentales o sus órganos y, en su caso, la identificación de sus responsables. Por tanto, de acuerdo con el mencionado artículo 32.1 de sus Estatutos, el organigrama debería recoger</w:t>
      </w:r>
      <w:r w:rsidR="00425B6A" w:rsidRPr="00425B6A">
        <w:rPr>
          <w:rFonts w:asciiTheme="minorHAnsi" w:hAnsiTheme="minorHAnsi" w:cstheme="minorHAnsi"/>
          <w:color w:val="auto"/>
          <w:szCs w:val="24"/>
        </w:rPr>
        <w:t xml:space="preserve"> </w:t>
      </w:r>
      <w:r w:rsidR="00826C0B" w:rsidRPr="00425B6A">
        <w:rPr>
          <w:rFonts w:asciiTheme="minorHAnsi" w:hAnsiTheme="minorHAnsi" w:cstheme="minorHAnsi"/>
          <w:color w:val="auto"/>
          <w:szCs w:val="24"/>
        </w:rPr>
        <w:t>como míni</w:t>
      </w:r>
      <w:r w:rsidR="00826C0B" w:rsidRPr="0044254D">
        <w:rPr>
          <w:rFonts w:asciiTheme="minorHAnsi" w:hAnsiTheme="minorHAnsi" w:cstheme="minorHAnsi"/>
          <w:color w:val="auto"/>
          <w:szCs w:val="24"/>
        </w:rPr>
        <w:t xml:space="preserve">mo </w:t>
      </w:r>
      <w:r w:rsidR="00826C0B" w:rsidRPr="0044254D">
        <w:rPr>
          <w:rFonts w:asciiTheme="minorHAnsi" w:eastAsiaTheme="minorHAnsi" w:hAnsiTheme="minorHAnsi" w:cstheme="minorHAnsi"/>
          <w:color w:val="auto"/>
          <w:szCs w:val="24"/>
        </w:rPr>
        <w:t>la Asamblea General y la Junta de Gobiern</w:t>
      </w:r>
      <w:r w:rsidR="00826C0B" w:rsidRPr="0044254D">
        <w:rPr>
          <w:rFonts w:asciiTheme="minorHAnsi" w:eastAsia="Times New Roman" w:hAnsiTheme="minorHAnsi" w:cstheme="minorHAnsi"/>
          <w:color w:val="auto"/>
          <w:szCs w:val="24"/>
          <w:lang w:eastAsia="es-ES"/>
        </w:rPr>
        <w:t>o</w:t>
      </w:r>
      <w:r w:rsidR="00826C0B" w:rsidRPr="0044254D">
        <w:rPr>
          <w:rFonts w:asciiTheme="minorHAnsi" w:hAnsiTheme="minorHAnsi" w:cstheme="minorHAnsi"/>
          <w:color w:val="auto"/>
          <w:szCs w:val="24"/>
        </w:rPr>
        <w:t xml:space="preserve"> y </w:t>
      </w:r>
      <w:r w:rsidR="00826C0B" w:rsidRPr="00425B6A">
        <w:rPr>
          <w:rFonts w:asciiTheme="minorHAnsi" w:hAnsiTheme="minorHAnsi" w:cstheme="minorHAnsi"/>
          <w:color w:val="auto"/>
          <w:szCs w:val="24"/>
        </w:rPr>
        <w:t>en su caso, identificar en cada uno de estos órganos a sus responsables. Además, esta representación gráfica o esquema puede incluir otras unidades o departamentos que se hubieran podido crear</w:t>
      </w:r>
      <w:r w:rsidR="00425B6A" w:rsidRPr="00425B6A">
        <w:rPr>
          <w:rFonts w:asciiTheme="minorHAnsi" w:hAnsiTheme="minorHAnsi" w:cstheme="minorHAnsi"/>
          <w:color w:val="auto"/>
          <w:szCs w:val="24"/>
        </w:rPr>
        <w:t>se</w:t>
      </w:r>
      <w:r w:rsidR="00826C0B" w:rsidRPr="00425B6A">
        <w:rPr>
          <w:rFonts w:asciiTheme="minorHAnsi" w:hAnsiTheme="minorHAnsi" w:cstheme="minorHAnsi"/>
          <w:color w:val="auto"/>
          <w:szCs w:val="24"/>
        </w:rPr>
        <w:t xml:space="preserve"> dentro de</w:t>
      </w:r>
      <w:r w:rsidR="00425B6A" w:rsidRPr="00425B6A">
        <w:rPr>
          <w:rFonts w:asciiTheme="minorHAnsi" w:hAnsiTheme="minorHAnsi" w:cstheme="minorHAnsi"/>
          <w:color w:val="auto"/>
          <w:szCs w:val="24"/>
        </w:rPr>
        <w:t>l CCII</w:t>
      </w:r>
      <w:r w:rsidR="00826C0B" w:rsidRPr="00425B6A">
        <w:rPr>
          <w:rFonts w:asciiTheme="minorHAnsi" w:hAnsiTheme="minorHAnsi" w:cstheme="minorHAnsi"/>
          <w:color w:val="auto"/>
          <w:szCs w:val="24"/>
        </w:rPr>
        <w:t>.</w:t>
      </w:r>
    </w:p>
    <w:p w:rsidR="00826C0B" w:rsidRPr="00425B6A" w:rsidRDefault="00B751FC" w:rsidP="00826C0B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5B6A">
        <w:rPr>
          <w:rFonts w:asciiTheme="minorHAnsi" w:hAnsiTheme="minorHAnsi" w:cstheme="minorHAnsi"/>
          <w:sz w:val="24"/>
          <w:szCs w:val="24"/>
        </w:rPr>
        <w:t>En r</w:t>
      </w:r>
      <w:r w:rsidR="00476DB1" w:rsidRPr="00425B6A">
        <w:rPr>
          <w:rFonts w:asciiTheme="minorHAnsi" w:hAnsiTheme="minorHAnsi" w:cstheme="minorHAnsi"/>
          <w:sz w:val="24"/>
          <w:szCs w:val="24"/>
        </w:rPr>
        <w:t>e</w:t>
      </w:r>
      <w:r w:rsidRPr="00425B6A">
        <w:rPr>
          <w:rFonts w:asciiTheme="minorHAnsi" w:hAnsiTheme="minorHAnsi" w:cstheme="minorHAnsi"/>
          <w:sz w:val="24"/>
          <w:szCs w:val="24"/>
        </w:rPr>
        <w:t>lación con la i</w:t>
      </w:r>
      <w:r w:rsidR="00476DB1" w:rsidRPr="00425B6A">
        <w:rPr>
          <w:rFonts w:asciiTheme="minorHAnsi" w:hAnsiTheme="minorHAnsi" w:cstheme="minorHAnsi"/>
          <w:sz w:val="24"/>
          <w:szCs w:val="24"/>
        </w:rPr>
        <w:t>nformación s</w:t>
      </w:r>
      <w:r w:rsidRPr="00425B6A">
        <w:rPr>
          <w:rFonts w:asciiTheme="minorHAnsi" w:hAnsiTheme="minorHAnsi" w:cstheme="minorHAnsi"/>
          <w:sz w:val="24"/>
          <w:szCs w:val="24"/>
        </w:rPr>
        <w:t xml:space="preserve">obre contratos </w:t>
      </w:r>
      <w:r w:rsidR="00476DB1" w:rsidRPr="00425B6A">
        <w:rPr>
          <w:rFonts w:asciiTheme="minorHAnsi" w:hAnsiTheme="minorHAnsi" w:cstheme="minorHAnsi"/>
          <w:sz w:val="24"/>
          <w:szCs w:val="24"/>
        </w:rPr>
        <w:t xml:space="preserve">que prevén incluir </w:t>
      </w:r>
      <w:r w:rsidRPr="00425B6A">
        <w:rPr>
          <w:rFonts w:asciiTheme="minorHAnsi" w:hAnsiTheme="minorHAnsi" w:cstheme="minorHAnsi"/>
          <w:sz w:val="24"/>
          <w:szCs w:val="24"/>
        </w:rPr>
        <w:t>(ap</w:t>
      </w:r>
      <w:r w:rsidR="00476DB1" w:rsidRPr="00425B6A">
        <w:rPr>
          <w:rFonts w:asciiTheme="minorHAnsi" w:hAnsiTheme="minorHAnsi" w:cstheme="minorHAnsi"/>
          <w:sz w:val="24"/>
          <w:szCs w:val="24"/>
        </w:rPr>
        <w:t>a</w:t>
      </w:r>
      <w:r w:rsidRPr="00425B6A">
        <w:rPr>
          <w:rFonts w:asciiTheme="minorHAnsi" w:hAnsiTheme="minorHAnsi" w:cstheme="minorHAnsi"/>
          <w:sz w:val="24"/>
          <w:szCs w:val="24"/>
        </w:rPr>
        <w:t xml:space="preserve">rtado V de su informe) cabe </w:t>
      </w:r>
      <w:r w:rsidR="00476DB1" w:rsidRPr="00425B6A">
        <w:rPr>
          <w:rFonts w:asciiTheme="minorHAnsi" w:hAnsiTheme="minorHAnsi" w:cstheme="minorHAnsi"/>
          <w:sz w:val="24"/>
          <w:szCs w:val="24"/>
        </w:rPr>
        <w:t xml:space="preserve">recordar que en la valoración de la información (tanto institucional y organizativa como económica) sujeta a obligaciones de publicidad activa de acuerdo con la LTAIBG por parte de las Corporaciones de Derecho Público, y tal como se recoge en el primer apartado del informe de evaluación remitido (denominado "marco de la evaluación") y se recuerda en la carta de remisión del borrador del informe, se ha atendido exclusivamente a lo indicado en la guía elaborada conjuntamente entre el Consejo de Transparencia y Buen Gobierno (CTBG) y Unión Profesional (UP), publicada en diciembre de 2016. Y entre la información económica sujeta a publicidad activa que se contempla en dicha Guía se recoge la información relativa a contratos sujetos a derecho administrativo, única y exclusivamente; eso es, contratos que esa </w:t>
      </w:r>
      <w:r w:rsidR="00476DB1" w:rsidRPr="00425B6A">
        <w:rPr>
          <w:rFonts w:asciiTheme="minorHAnsi" w:hAnsiTheme="minorHAnsi" w:cstheme="minorHAnsi"/>
          <w:sz w:val="24"/>
          <w:szCs w:val="24"/>
        </w:rPr>
        <w:lastRenderedPageBreak/>
        <w:t xml:space="preserve">Corporación hubiera realizado con sujeción a la Ley de Contratos del Sector Público tanto en esa vertiente de posible poder adjudicador como en la vertiente de posible adjudicatario de un contrato sujeto a derecho administrativo, y no alcanza a o aquellos contratos sujetos a derecho privado. Claro está que sin perjuicio de que esa Corporación decidiera publicar también esta información, en cuyo caso se trataría de transparencia voluntaria y sería calificada de buena práctica. </w:t>
      </w:r>
    </w:p>
    <w:p w:rsidR="00476DB1" w:rsidRPr="00425B6A" w:rsidRDefault="00826C0B" w:rsidP="00826C0B">
      <w:p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425B6A">
        <w:rPr>
          <w:rFonts w:asciiTheme="minorHAnsi" w:hAnsiTheme="minorHAnsi" w:cstheme="minorHAnsi"/>
          <w:szCs w:val="24"/>
        </w:rPr>
        <w:t>En cualquier caso, es obligado</w:t>
      </w:r>
      <w:r w:rsidR="00476DB1" w:rsidRPr="00425B6A">
        <w:rPr>
          <w:rFonts w:asciiTheme="minorHAnsi" w:hAnsiTheme="minorHAnsi" w:cstheme="minorHAnsi"/>
          <w:szCs w:val="24"/>
        </w:rPr>
        <w:t xml:space="preserve"> recordar que si no hubieran celebrado contrato alguno sujeto a derecho administrativo deberán hacer referencia expresa a esta circunstancia</w:t>
      </w:r>
      <w:r w:rsidR="00024B6E" w:rsidRPr="00425B6A">
        <w:rPr>
          <w:rFonts w:asciiTheme="minorHAnsi" w:hAnsiTheme="minorHAnsi" w:cstheme="minorHAnsi"/>
          <w:szCs w:val="24"/>
        </w:rPr>
        <w:t xml:space="preserve"> </w:t>
      </w:r>
      <w:r w:rsidR="00476DB1" w:rsidRPr="00425B6A">
        <w:rPr>
          <w:rFonts w:asciiTheme="minorHAnsi" w:hAnsiTheme="minorHAnsi" w:cstheme="minorHAnsi"/>
          <w:szCs w:val="24"/>
        </w:rPr>
        <w:t>ya que, como se ha expuesto, el ciudadano no tiene por qué deducir que la omisión de una determinada información pueda equivaler en todo caso a su inexistencia</w:t>
      </w:r>
      <w:r w:rsidR="00024B6E" w:rsidRPr="00425B6A">
        <w:rPr>
          <w:rFonts w:asciiTheme="minorHAnsi" w:hAnsiTheme="minorHAnsi" w:cstheme="minorHAnsi"/>
          <w:szCs w:val="24"/>
        </w:rPr>
        <w:t>.</w:t>
      </w:r>
    </w:p>
    <w:p w:rsidR="00826C0B" w:rsidRPr="00425B6A" w:rsidRDefault="00826C0B" w:rsidP="00826C0B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5B6A">
        <w:rPr>
          <w:rFonts w:asciiTheme="minorHAnsi" w:hAnsiTheme="minorHAnsi" w:cstheme="minorHAnsi"/>
          <w:sz w:val="24"/>
          <w:szCs w:val="24"/>
        </w:rPr>
        <w:t>La misma consideración cabe hacer respecto a la inexistencia de información relativa a</w:t>
      </w:r>
      <w:r w:rsidR="00425B6A" w:rsidRPr="00425B6A">
        <w:rPr>
          <w:rFonts w:asciiTheme="minorHAnsi" w:hAnsiTheme="minorHAnsi" w:cstheme="minorHAnsi"/>
          <w:sz w:val="24"/>
          <w:szCs w:val="24"/>
        </w:rPr>
        <w:t xml:space="preserve"> </w:t>
      </w:r>
      <w:r w:rsidRPr="00425B6A">
        <w:rPr>
          <w:rFonts w:asciiTheme="minorHAnsi" w:hAnsiTheme="minorHAnsi" w:cstheme="minorHAnsi"/>
          <w:sz w:val="24"/>
          <w:szCs w:val="24"/>
        </w:rPr>
        <w:t>convenios y subvenciones y ayuda públicas percibidas por esa Corporación (apartado VI de su informe): debe explicitarse la circunstancia de no disponer de esas concretas informaciones.</w:t>
      </w:r>
    </w:p>
    <w:p w:rsidR="00B751FC" w:rsidRPr="00425B6A" w:rsidRDefault="00826C0B" w:rsidP="00826C0B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5B6A">
        <w:rPr>
          <w:rFonts w:asciiTheme="minorHAnsi" w:hAnsiTheme="minorHAnsi" w:cstheme="minorHAnsi"/>
          <w:sz w:val="24"/>
          <w:szCs w:val="24"/>
        </w:rPr>
        <w:t>En razón de cuanto</w:t>
      </w:r>
      <w:r w:rsidR="00425B6A" w:rsidRPr="00425B6A">
        <w:rPr>
          <w:rFonts w:asciiTheme="minorHAnsi" w:hAnsiTheme="minorHAnsi" w:cstheme="minorHAnsi"/>
          <w:sz w:val="24"/>
          <w:szCs w:val="24"/>
        </w:rPr>
        <w:t xml:space="preserve"> </w:t>
      </w:r>
      <w:r w:rsidRPr="00425B6A">
        <w:rPr>
          <w:rFonts w:asciiTheme="minorHAnsi" w:hAnsiTheme="minorHAnsi" w:cstheme="minorHAnsi"/>
          <w:sz w:val="24"/>
          <w:szCs w:val="24"/>
        </w:rPr>
        <w:t xml:space="preserve">antecede, no procede por el momento revisar el informe elaborado como tampoco el </w:t>
      </w:r>
      <w:r w:rsidR="00B751FC" w:rsidRPr="00425B6A">
        <w:rPr>
          <w:rFonts w:asciiTheme="minorHAnsi" w:hAnsiTheme="minorHAnsi" w:cstheme="minorHAnsi"/>
          <w:sz w:val="24"/>
          <w:szCs w:val="24"/>
        </w:rPr>
        <w:t xml:space="preserve">Indicador de Cumplimiento de la Información Obligatoria correspondiente al </w:t>
      </w:r>
      <w:r w:rsidR="00024B6E" w:rsidRPr="00425B6A">
        <w:rPr>
          <w:rFonts w:asciiTheme="minorHAnsi" w:hAnsiTheme="minorHAnsi" w:cstheme="minorHAnsi"/>
          <w:sz w:val="24"/>
          <w:szCs w:val="24"/>
        </w:rPr>
        <w:t>Consejo General de Colegios Profesionales de Ingenieros Informáticos (CCII)</w:t>
      </w:r>
      <w:r w:rsidRPr="00425B6A">
        <w:rPr>
          <w:rFonts w:asciiTheme="minorHAnsi" w:hAnsiTheme="minorHAnsi" w:cstheme="minorHAnsi"/>
          <w:sz w:val="24"/>
          <w:szCs w:val="24"/>
        </w:rPr>
        <w:t>.</w:t>
      </w:r>
      <w:r w:rsidR="003E1E1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56B1" w:rsidRPr="00425B6A" w:rsidRDefault="00B751FC" w:rsidP="00826C0B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25B6A">
        <w:rPr>
          <w:rFonts w:asciiTheme="minorHAnsi" w:hAnsiTheme="minorHAnsi" w:cstheme="minorHAnsi"/>
          <w:sz w:val="24"/>
          <w:szCs w:val="24"/>
        </w:rPr>
        <w:t xml:space="preserve">Este Consejo valora muy positivamente </w:t>
      </w:r>
      <w:r w:rsidR="004A6740" w:rsidRPr="00425B6A">
        <w:rPr>
          <w:rFonts w:asciiTheme="minorHAnsi" w:hAnsiTheme="minorHAnsi" w:cstheme="minorHAnsi"/>
          <w:sz w:val="24"/>
          <w:szCs w:val="24"/>
        </w:rPr>
        <w:t>la disposición del C</w:t>
      </w:r>
      <w:r w:rsidRPr="00425B6A">
        <w:rPr>
          <w:rFonts w:asciiTheme="minorHAnsi" w:hAnsiTheme="minorHAnsi" w:cstheme="minorHAnsi"/>
          <w:sz w:val="24"/>
          <w:szCs w:val="24"/>
        </w:rPr>
        <w:t>CII</w:t>
      </w:r>
      <w:r w:rsidR="001C3E2F" w:rsidRPr="00425B6A">
        <w:rPr>
          <w:rFonts w:asciiTheme="minorHAnsi" w:hAnsiTheme="minorHAnsi" w:cstheme="minorHAnsi"/>
          <w:sz w:val="24"/>
          <w:szCs w:val="24"/>
        </w:rPr>
        <w:t xml:space="preserve"> </w:t>
      </w:r>
      <w:r w:rsidR="004A6740" w:rsidRPr="00425B6A">
        <w:rPr>
          <w:rFonts w:asciiTheme="minorHAnsi" w:hAnsiTheme="minorHAnsi" w:cstheme="minorHAnsi"/>
          <w:sz w:val="24"/>
          <w:szCs w:val="24"/>
        </w:rPr>
        <w:t xml:space="preserve">a aplicar las recomendaciones efectuadas y en consecuencia, </w:t>
      </w:r>
      <w:r w:rsidR="001A16CD" w:rsidRPr="00425B6A">
        <w:rPr>
          <w:rFonts w:asciiTheme="minorHAnsi" w:hAnsiTheme="minorHAnsi" w:cstheme="minorHAnsi"/>
          <w:sz w:val="24"/>
          <w:szCs w:val="24"/>
        </w:rPr>
        <w:t xml:space="preserve">espera </w:t>
      </w:r>
      <w:r w:rsidR="00404D25" w:rsidRPr="00425B6A">
        <w:rPr>
          <w:rFonts w:asciiTheme="minorHAnsi" w:hAnsiTheme="minorHAnsi" w:cstheme="minorHAnsi"/>
          <w:sz w:val="24"/>
          <w:szCs w:val="24"/>
        </w:rPr>
        <w:t>que cuando el año que viene, evalúe el grado de cumplimento de las recomendaciones recogidas en su informe</w:t>
      </w:r>
      <w:r w:rsidR="004A6740" w:rsidRPr="00425B6A">
        <w:rPr>
          <w:rFonts w:asciiTheme="minorHAnsi" w:hAnsiTheme="minorHAnsi" w:cstheme="minorHAnsi"/>
          <w:sz w:val="24"/>
          <w:szCs w:val="24"/>
        </w:rPr>
        <w:t>,</w:t>
      </w:r>
      <w:r w:rsidR="00404D25" w:rsidRPr="00425B6A">
        <w:rPr>
          <w:rFonts w:asciiTheme="minorHAnsi" w:hAnsiTheme="minorHAnsi" w:cstheme="minorHAnsi"/>
          <w:sz w:val="24"/>
          <w:szCs w:val="24"/>
        </w:rPr>
        <w:t xml:space="preserve"> obtenga un valoración positiva que muestre el </w:t>
      </w:r>
      <w:r w:rsidR="003656B1" w:rsidRPr="00425B6A">
        <w:rPr>
          <w:rFonts w:asciiTheme="minorHAnsi" w:hAnsiTheme="minorHAnsi" w:cstheme="minorHAnsi"/>
          <w:sz w:val="24"/>
          <w:szCs w:val="24"/>
        </w:rPr>
        <w:t xml:space="preserve">esfuerzo realizado en la mejora en el cumplimiento de las obligaciones de publicidad activa. </w:t>
      </w:r>
    </w:p>
    <w:p w:rsidR="007A46FA" w:rsidRPr="006F17B5" w:rsidRDefault="007A46FA" w:rsidP="001C3E2F">
      <w:pPr>
        <w:pStyle w:val="Prrafodelista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7A46FA" w:rsidRDefault="006F17B5" w:rsidP="001C3E2F">
      <w:pPr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Madrid, </w:t>
      </w:r>
      <w:r w:rsidR="004E0A30">
        <w:rPr>
          <w:rFonts w:asciiTheme="minorHAnsi" w:hAnsiTheme="minorHAnsi" w:cstheme="minorHAnsi"/>
          <w:szCs w:val="24"/>
        </w:rPr>
        <w:t>agosto</w:t>
      </w:r>
      <w:r w:rsidR="007A46FA">
        <w:rPr>
          <w:rFonts w:asciiTheme="minorHAnsi" w:hAnsiTheme="minorHAnsi" w:cstheme="minorHAnsi"/>
          <w:szCs w:val="24"/>
        </w:rPr>
        <w:t xml:space="preserve"> de 2020</w:t>
      </w:r>
    </w:p>
    <w:sectPr w:rsidR="006F17B5" w:rsidRPr="007A46FA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0B" w:rsidRDefault="00826C0B" w:rsidP="00344FE7">
      <w:pPr>
        <w:spacing w:after="0" w:line="240" w:lineRule="auto"/>
      </w:pPr>
      <w:r>
        <w:separator/>
      </w:r>
    </w:p>
  </w:endnote>
  <w:endnote w:type="continuationSeparator" w:id="0">
    <w:p w:rsidR="00826C0B" w:rsidRDefault="00826C0B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6C0B" w:rsidRPr="00C23F36" w:rsidRDefault="00826C0B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3E1E18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0B" w:rsidRDefault="00826C0B" w:rsidP="00344FE7">
      <w:pPr>
        <w:spacing w:after="0" w:line="240" w:lineRule="auto"/>
      </w:pPr>
      <w:r>
        <w:separator/>
      </w:r>
    </w:p>
  </w:footnote>
  <w:footnote w:type="continuationSeparator" w:id="0">
    <w:p w:rsidR="00826C0B" w:rsidRDefault="00826C0B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0B" w:rsidRDefault="00826C0B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6C0B" w:rsidRDefault="00826C0B">
    <w:pPr>
      <w:pStyle w:val="Encabezado"/>
    </w:pPr>
  </w:p>
  <w:p w:rsidR="00826C0B" w:rsidRDefault="00826C0B" w:rsidP="00344FE7">
    <w:pPr>
      <w:pStyle w:val="Encabezado"/>
    </w:pPr>
  </w:p>
  <w:p w:rsidR="00826C0B" w:rsidRDefault="00826C0B" w:rsidP="00344FE7">
    <w:pPr>
      <w:pStyle w:val="Encabezado"/>
    </w:pPr>
  </w:p>
  <w:p w:rsidR="00826C0B" w:rsidRDefault="00826C0B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0B" w:rsidRDefault="00826C0B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760"/>
    <w:multiLevelType w:val="hybridMultilevel"/>
    <w:tmpl w:val="F7645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72AD4"/>
    <w:multiLevelType w:val="hybridMultilevel"/>
    <w:tmpl w:val="8466A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40F20"/>
    <w:multiLevelType w:val="hybridMultilevel"/>
    <w:tmpl w:val="DE9EF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F7E5B"/>
    <w:multiLevelType w:val="hybridMultilevel"/>
    <w:tmpl w:val="75E8A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47ECA"/>
    <w:multiLevelType w:val="hybridMultilevel"/>
    <w:tmpl w:val="A70298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840025"/>
    <w:multiLevelType w:val="hybridMultilevel"/>
    <w:tmpl w:val="8926117A"/>
    <w:lvl w:ilvl="0" w:tplc="81DA0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24B6E"/>
    <w:rsid w:val="00033E75"/>
    <w:rsid w:val="001161A1"/>
    <w:rsid w:val="001257F9"/>
    <w:rsid w:val="00134804"/>
    <w:rsid w:val="0014196C"/>
    <w:rsid w:val="001750A8"/>
    <w:rsid w:val="00175D6C"/>
    <w:rsid w:val="0018324C"/>
    <w:rsid w:val="001A16CD"/>
    <w:rsid w:val="001B16D9"/>
    <w:rsid w:val="001C3E2F"/>
    <w:rsid w:val="001E44BC"/>
    <w:rsid w:val="00251194"/>
    <w:rsid w:val="00256B93"/>
    <w:rsid w:val="003259B9"/>
    <w:rsid w:val="00344FE7"/>
    <w:rsid w:val="00351475"/>
    <w:rsid w:val="003656B1"/>
    <w:rsid w:val="003A2FF5"/>
    <w:rsid w:val="003B5DE7"/>
    <w:rsid w:val="003E1E18"/>
    <w:rsid w:val="003F38BD"/>
    <w:rsid w:val="00404D25"/>
    <w:rsid w:val="0042262D"/>
    <w:rsid w:val="00425B6A"/>
    <w:rsid w:val="0044254D"/>
    <w:rsid w:val="00474203"/>
    <w:rsid w:val="00476DB1"/>
    <w:rsid w:val="004A6740"/>
    <w:rsid w:val="004B15B8"/>
    <w:rsid w:val="004E0A30"/>
    <w:rsid w:val="00643CBE"/>
    <w:rsid w:val="006F17B5"/>
    <w:rsid w:val="006F5890"/>
    <w:rsid w:val="0071472F"/>
    <w:rsid w:val="007342F2"/>
    <w:rsid w:val="007832B9"/>
    <w:rsid w:val="007A46FA"/>
    <w:rsid w:val="007A662D"/>
    <w:rsid w:val="007C00E5"/>
    <w:rsid w:val="007C0642"/>
    <w:rsid w:val="007D24E2"/>
    <w:rsid w:val="00815DA2"/>
    <w:rsid w:val="00826C0B"/>
    <w:rsid w:val="008935F6"/>
    <w:rsid w:val="0089717A"/>
    <w:rsid w:val="00901F1F"/>
    <w:rsid w:val="009029E0"/>
    <w:rsid w:val="009D2560"/>
    <w:rsid w:val="009D6677"/>
    <w:rsid w:val="009E30AA"/>
    <w:rsid w:val="00A72646"/>
    <w:rsid w:val="00A7490A"/>
    <w:rsid w:val="00B2797F"/>
    <w:rsid w:val="00B31F84"/>
    <w:rsid w:val="00B35A53"/>
    <w:rsid w:val="00B751FC"/>
    <w:rsid w:val="00BC7A82"/>
    <w:rsid w:val="00C23F36"/>
    <w:rsid w:val="00C305B6"/>
    <w:rsid w:val="00C3135F"/>
    <w:rsid w:val="00C736B9"/>
    <w:rsid w:val="00C77ACB"/>
    <w:rsid w:val="00D445A4"/>
    <w:rsid w:val="00DB2CB4"/>
    <w:rsid w:val="00DB2CCC"/>
    <w:rsid w:val="00DD07B5"/>
    <w:rsid w:val="00DD59EC"/>
    <w:rsid w:val="00E03C82"/>
    <w:rsid w:val="00E4386D"/>
    <w:rsid w:val="00E5135F"/>
    <w:rsid w:val="00E5724B"/>
    <w:rsid w:val="00E64F85"/>
    <w:rsid w:val="00EB7058"/>
    <w:rsid w:val="00EC3AAE"/>
    <w:rsid w:val="00EF5F68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6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751F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51FC"/>
    <w:rPr>
      <w:rFonts w:asciiTheme="minorHAnsi" w:hAnsiTheme="minorHAnsi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826C0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6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751F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51FC"/>
    <w:rPr>
      <w:rFonts w:asciiTheme="minorHAnsi" w:hAnsiTheme="minorHAnsi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826C0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12</cp:revision>
  <cp:lastPrinted>2015-01-27T17:42:00Z</cp:lastPrinted>
  <dcterms:created xsi:type="dcterms:W3CDTF">2020-07-21T07:32:00Z</dcterms:created>
  <dcterms:modified xsi:type="dcterms:W3CDTF">2020-09-07T10:21:00Z</dcterms:modified>
</cp:coreProperties>
</file>