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CF0704">
        <w:t xml:space="preserve">EL CONSEJO GENERAL DE </w:t>
      </w:r>
      <w:r w:rsidR="005D26C1">
        <w:t>COLEGIOS OFICIALES DE INGENIER</w:t>
      </w:r>
      <w:r w:rsidR="00BF37E7">
        <w:t>OS</w:t>
      </w:r>
      <w:r w:rsidR="005D26C1">
        <w:t xml:space="preserve"> TÉCNIC</w:t>
      </w:r>
      <w:r w:rsidR="00BF37E7">
        <w:t>OS</w:t>
      </w:r>
      <w:r w:rsidR="005D26C1">
        <w:t xml:space="preserve"> AGRÍCOLA</w:t>
      </w:r>
      <w:r w:rsidR="00BF37E7">
        <w:t>S DE ESPAÑA</w:t>
      </w:r>
      <w:r w:rsidR="005D26C1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Pr="00E0593C" w:rsidRDefault="00D23111" w:rsidP="00F259EF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r w:rsidRPr="00E0593C">
        <w:rPr>
          <w:rFonts w:asciiTheme="minorHAnsi" w:hAnsiTheme="minorHAnsi" w:cstheme="minorHAnsi"/>
          <w:szCs w:val="24"/>
        </w:rPr>
        <w:t>En contestación a su escrito de 1</w:t>
      </w:r>
      <w:r w:rsidR="005D26C1" w:rsidRPr="00E0593C">
        <w:rPr>
          <w:rFonts w:asciiTheme="minorHAnsi" w:hAnsiTheme="minorHAnsi" w:cstheme="minorHAnsi"/>
          <w:szCs w:val="24"/>
        </w:rPr>
        <w:t>7</w:t>
      </w:r>
      <w:r w:rsidRPr="00E0593C">
        <w:rPr>
          <w:rFonts w:asciiTheme="minorHAnsi" w:hAnsiTheme="minorHAnsi" w:cstheme="minorHAnsi"/>
          <w:szCs w:val="24"/>
        </w:rPr>
        <w:t xml:space="preserve"> de julio de 2020, una vez analizadas las observaciones realizadas en el mismo al borrador de informe de evaluación </w:t>
      </w:r>
      <w:r w:rsidR="00084DA8">
        <w:rPr>
          <w:rFonts w:asciiTheme="minorHAnsi" w:hAnsiTheme="minorHAnsi" w:cstheme="minorHAnsi"/>
          <w:szCs w:val="24"/>
        </w:rPr>
        <w:t>sobre el grado</w:t>
      </w:r>
      <w:r w:rsidRPr="00E0593C">
        <w:rPr>
          <w:rFonts w:asciiTheme="minorHAnsi" w:hAnsiTheme="minorHAnsi" w:cstheme="minorHAnsi"/>
          <w:szCs w:val="24"/>
        </w:rPr>
        <w:t xml:space="preserve"> de cumplimiento de las obligaciones de publicidad activa </w:t>
      </w:r>
      <w:r w:rsidR="00084DA8">
        <w:rPr>
          <w:rFonts w:asciiTheme="minorHAnsi" w:hAnsiTheme="minorHAnsi" w:cstheme="minorHAnsi"/>
          <w:szCs w:val="24"/>
        </w:rPr>
        <w:t>establecidas por la</w:t>
      </w:r>
      <w:r w:rsidR="00084DA8" w:rsidRPr="00BF37E7">
        <w:rPr>
          <w:rFonts w:asciiTheme="minorHAnsi" w:eastAsiaTheme="minorEastAsia" w:hAnsiTheme="minorHAnsi" w:cstheme="minorHAnsi"/>
          <w:szCs w:val="24"/>
          <w:lang w:eastAsia="es-ES"/>
        </w:rPr>
        <w:t xml:space="preserve"> </w:t>
      </w:r>
      <w:r w:rsidR="00084DA8" w:rsidRPr="00BF37E7">
        <w:rPr>
          <w:rFonts w:asciiTheme="minorHAnsi" w:hAnsiTheme="minorHAnsi" w:cstheme="minorHAnsi"/>
          <w:color w:val="000000"/>
          <w:szCs w:val="24"/>
        </w:rPr>
        <w:t>Ley 19/2013, de 9 de diciembre, de transparencia, acceso a la información pública y buen gobierno (LTAIBG)</w:t>
      </w:r>
      <w:r w:rsidR="00084DA8">
        <w:rPr>
          <w:rFonts w:asciiTheme="minorHAnsi" w:hAnsiTheme="minorHAnsi" w:cstheme="minorHAnsi"/>
          <w:color w:val="000000"/>
          <w:szCs w:val="24"/>
        </w:rPr>
        <w:t xml:space="preserve"> </w:t>
      </w:r>
      <w:r w:rsidRPr="00E0593C">
        <w:rPr>
          <w:rFonts w:asciiTheme="minorHAnsi" w:hAnsiTheme="minorHAnsi" w:cstheme="minorHAnsi"/>
          <w:szCs w:val="24"/>
        </w:rPr>
        <w:t>por parte de esa Corporación, este CTBG efectúa las siguientes consideraciones:</w:t>
      </w:r>
    </w:p>
    <w:p w:rsidR="00EB3E52" w:rsidRPr="00E0593C" w:rsidRDefault="002E7038" w:rsidP="00F259EF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asciiTheme="minorHAnsi" w:eastAsiaTheme="minorEastAsia" w:hAnsiTheme="minorHAnsi" w:cstheme="minorHAnsi"/>
          <w:bCs/>
          <w:sz w:val="24"/>
          <w:szCs w:val="24"/>
          <w:lang w:eastAsia="es-ES"/>
        </w:rPr>
      </w:pPr>
      <w:r w:rsidRPr="00E0593C">
        <w:rPr>
          <w:rFonts w:asciiTheme="minorHAnsi" w:hAnsiTheme="minorHAnsi" w:cstheme="minorHAnsi"/>
          <w:sz w:val="24"/>
          <w:szCs w:val="24"/>
        </w:rPr>
        <w:t xml:space="preserve">En cuanto a la </w:t>
      </w:r>
      <w:r w:rsidR="00A17DB8" w:rsidRPr="00E0593C">
        <w:rPr>
          <w:rFonts w:asciiTheme="minorHAnsi" w:hAnsiTheme="minorHAnsi" w:cstheme="minorHAnsi"/>
          <w:sz w:val="24"/>
          <w:szCs w:val="24"/>
        </w:rPr>
        <w:t>primer</w:t>
      </w:r>
      <w:r w:rsidR="00084DA8">
        <w:rPr>
          <w:rFonts w:asciiTheme="minorHAnsi" w:hAnsiTheme="minorHAnsi" w:cstheme="minorHAnsi"/>
          <w:sz w:val="24"/>
          <w:szCs w:val="24"/>
        </w:rPr>
        <w:t>a</w:t>
      </w:r>
      <w:r w:rsidR="00A17DB8" w:rsidRPr="00E0593C">
        <w:rPr>
          <w:rFonts w:asciiTheme="minorHAnsi" w:hAnsiTheme="minorHAnsi" w:cstheme="minorHAnsi"/>
          <w:sz w:val="24"/>
          <w:szCs w:val="24"/>
        </w:rPr>
        <w:t xml:space="preserve"> objeción que apuntan en su escrito,</w:t>
      </w:r>
      <w:r w:rsidRPr="00E0593C">
        <w:rPr>
          <w:rFonts w:asciiTheme="minorHAnsi" w:hAnsiTheme="minorHAnsi" w:cstheme="minorHAnsi"/>
          <w:sz w:val="24"/>
          <w:szCs w:val="24"/>
        </w:rPr>
        <w:t xml:space="preserve"> </w:t>
      </w:r>
      <w:r w:rsidR="00084DA8">
        <w:rPr>
          <w:rFonts w:asciiTheme="minorHAnsi" w:hAnsiTheme="minorHAnsi" w:cstheme="minorHAnsi"/>
          <w:sz w:val="24"/>
          <w:szCs w:val="24"/>
        </w:rPr>
        <w:t xml:space="preserve">y comenzando por la cuestión </w:t>
      </w:r>
      <w:r w:rsidRPr="00E0593C">
        <w:rPr>
          <w:rFonts w:asciiTheme="minorHAnsi" w:hAnsiTheme="minorHAnsi" w:cstheme="minorHAnsi"/>
          <w:sz w:val="24"/>
          <w:szCs w:val="24"/>
        </w:rPr>
        <w:t>relativa a la remisión de dos informes de idéntico contenido pero distinta denominación en la corporación evaluada, cabe señalar que en ambos casos los informes se correspondían con la evaluación efectuada a ese Consejo General</w:t>
      </w:r>
      <w:r w:rsidR="00BF37E7" w:rsidRPr="00BF37E7">
        <w:rPr>
          <w:rFonts w:asciiTheme="minorHAnsi" w:hAnsiTheme="minorHAnsi" w:cstheme="minorHAnsi"/>
          <w:sz w:val="24"/>
          <w:szCs w:val="24"/>
        </w:rPr>
        <w:t xml:space="preserve"> </w:t>
      </w:r>
      <w:r w:rsidR="00BF37E7">
        <w:rPr>
          <w:rFonts w:asciiTheme="minorHAnsi" w:hAnsiTheme="minorHAnsi" w:cstheme="minorHAnsi"/>
          <w:sz w:val="24"/>
          <w:szCs w:val="24"/>
        </w:rPr>
        <w:t>(</w:t>
      </w:r>
      <w:r w:rsidR="00BF37E7" w:rsidRPr="00E0593C">
        <w:rPr>
          <w:rFonts w:asciiTheme="minorHAnsi" w:hAnsiTheme="minorHAnsi" w:cstheme="minorHAnsi"/>
          <w:sz w:val="24"/>
          <w:szCs w:val="24"/>
        </w:rPr>
        <w:t>C</w:t>
      </w:r>
      <w:r w:rsidR="00BF37E7">
        <w:rPr>
          <w:rFonts w:asciiTheme="minorHAnsi" w:hAnsiTheme="minorHAnsi" w:cstheme="minorHAnsi"/>
          <w:sz w:val="24"/>
          <w:szCs w:val="24"/>
        </w:rPr>
        <w:t xml:space="preserve">onsejo </w:t>
      </w:r>
      <w:r w:rsidR="00BF37E7" w:rsidRPr="00E0593C">
        <w:rPr>
          <w:rFonts w:asciiTheme="minorHAnsi" w:hAnsiTheme="minorHAnsi" w:cstheme="minorHAnsi"/>
          <w:sz w:val="24"/>
          <w:szCs w:val="24"/>
        </w:rPr>
        <w:t>G</w:t>
      </w:r>
      <w:r w:rsidR="00BF37E7">
        <w:rPr>
          <w:rFonts w:asciiTheme="minorHAnsi" w:hAnsiTheme="minorHAnsi" w:cstheme="minorHAnsi"/>
          <w:sz w:val="24"/>
          <w:szCs w:val="24"/>
        </w:rPr>
        <w:t>eneral de Colegios Oficiales de Ingenieros Técnicos Agrícolas)</w:t>
      </w:r>
      <w:r w:rsidR="00084DA8">
        <w:rPr>
          <w:rFonts w:asciiTheme="minorHAnsi" w:hAnsiTheme="minorHAnsi" w:cstheme="minorHAnsi"/>
          <w:sz w:val="24"/>
          <w:szCs w:val="24"/>
        </w:rPr>
        <w:t>. S</w:t>
      </w:r>
      <w:r w:rsidRPr="00E0593C">
        <w:rPr>
          <w:rFonts w:asciiTheme="minorHAnsi" w:hAnsiTheme="minorHAnsi" w:cstheme="minorHAnsi"/>
          <w:sz w:val="24"/>
          <w:szCs w:val="24"/>
        </w:rPr>
        <w:t>in embargo, en el primero de ellos se arrastró por error el nombre de otro Consejo General (COGITI)</w:t>
      </w:r>
      <w:r w:rsidR="00084DA8">
        <w:rPr>
          <w:rFonts w:asciiTheme="minorHAnsi" w:hAnsiTheme="minorHAnsi" w:cstheme="minorHAnsi"/>
          <w:sz w:val="24"/>
          <w:szCs w:val="24"/>
        </w:rPr>
        <w:t>, también objeto de evaluación</w:t>
      </w:r>
      <w:r w:rsidRPr="00E0593C">
        <w:rPr>
          <w:rFonts w:asciiTheme="minorHAnsi" w:hAnsiTheme="minorHAnsi" w:cstheme="minorHAnsi"/>
          <w:sz w:val="24"/>
          <w:szCs w:val="24"/>
        </w:rPr>
        <w:t xml:space="preserve">. De hecho, </w:t>
      </w:r>
      <w:r w:rsidR="00084DA8">
        <w:rPr>
          <w:rFonts w:asciiTheme="minorHAnsi" w:hAnsiTheme="minorHAnsi" w:cstheme="minorHAnsi"/>
          <w:sz w:val="24"/>
          <w:szCs w:val="24"/>
        </w:rPr>
        <w:t>los</w:t>
      </w:r>
      <w:r w:rsidRPr="00E0593C">
        <w:rPr>
          <w:rFonts w:asciiTheme="minorHAnsi" w:hAnsiTheme="minorHAnsi" w:cstheme="minorHAnsi"/>
          <w:sz w:val="24"/>
          <w:szCs w:val="24"/>
        </w:rPr>
        <w:t xml:space="preserve"> informe</w:t>
      </w:r>
      <w:r w:rsidR="00084DA8">
        <w:rPr>
          <w:rFonts w:asciiTheme="minorHAnsi" w:hAnsiTheme="minorHAnsi" w:cstheme="minorHAnsi"/>
          <w:sz w:val="24"/>
          <w:szCs w:val="24"/>
        </w:rPr>
        <w:t>s</w:t>
      </w:r>
      <w:r w:rsidRPr="00E0593C">
        <w:rPr>
          <w:rFonts w:asciiTheme="minorHAnsi" w:hAnsiTheme="minorHAnsi" w:cstheme="minorHAnsi"/>
          <w:sz w:val="24"/>
          <w:szCs w:val="24"/>
        </w:rPr>
        <w:t xml:space="preserve"> </w:t>
      </w:r>
      <w:r w:rsidR="00084DA8">
        <w:rPr>
          <w:rFonts w:asciiTheme="minorHAnsi" w:hAnsiTheme="minorHAnsi" w:cstheme="minorHAnsi"/>
          <w:sz w:val="24"/>
          <w:szCs w:val="24"/>
        </w:rPr>
        <w:t>son</w:t>
      </w:r>
      <w:r w:rsidRPr="00E0593C">
        <w:rPr>
          <w:rFonts w:asciiTheme="minorHAnsi" w:hAnsiTheme="minorHAnsi" w:cstheme="minorHAnsi"/>
          <w:sz w:val="24"/>
          <w:szCs w:val="24"/>
        </w:rPr>
        <w:t xml:space="preserve"> idéntico</w:t>
      </w:r>
      <w:r w:rsidR="00084DA8">
        <w:rPr>
          <w:rFonts w:asciiTheme="minorHAnsi" w:hAnsiTheme="minorHAnsi" w:cstheme="minorHAnsi"/>
          <w:sz w:val="24"/>
          <w:szCs w:val="24"/>
        </w:rPr>
        <w:t>s</w:t>
      </w:r>
      <w:r w:rsidRPr="00E0593C">
        <w:rPr>
          <w:rFonts w:asciiTheme="minorHAnsi" w:hAnsiTheme="minorHAnsi" w:cstheme="minorHAnsi"/>
          <w:sz w:val="24"/>
          <w:szCs w:val="24"/>
        </w:rPr>
        <w:t xml:space="preserve">, y el único error material es la denominación del Consejo General, salvo que al revisar su contenido hubieran podido comprobar que </w:t>
      </w:r>
      <w:r w:rsidR="00084DA8">
        <w:rPr>
          <w:rFonts w:asciiTheme="minorHAnsi" w:hAnsiTheme="minorHAnsi" w:cstheme="minorHAnsi"/>
          <w:sz w:val="24"/>
          <w:szCs w:val="24"/>
        </w:rPr>
        <w:t xml:space="preserve">las observaciones y contenidos </w:t>
      </w:r>
      <w:r w:rsidRPr="00E0593C">
        <w:rPr>
          <w:rFonts w:asciiTheme="minorHAnsi" w:hAnsiTheme="minorHAnsi" w:cstheme="minorHAnsi"/>
          <w:sz w:val="24"/>
          <w:szCs w:val="24"/>
        </w:rPr>
        <w:t>no se corresponde</w:t>
      </w:r>
      <w:r w:rsidR="00084DA8">
        <w:rPr>
          <w:rFonts w:asciiTheme="minorHAnsi" w:hAnsiTheme="minorHAnsi" w:cstheme="minorHAnsi"/>
          <w:sz w:val="24"/>
          <w:szCs w:val="24"/>
        </w:rPr>
        <w:t>n</w:t>
      </w:r>
      <w:r w:rsidRPr="00E0593C">
        <w:rPr>
          <w:rFonts w:asciiTheme="minorHAnsi" w:hAnsiTheme="minorHAnsi" w:cstheme="minorHAnsi"/>
          <w:sz w:val="24"/>
          <w:szCs w:val="24"/>
        </w:rPr>
        <w:t xml:space="preserve"> con su página web </w:t>
      </w:r>
      <w:r w:rsidR="00EB3E52" w:rsidRPr="00E0593C">
        <w:rPr>
          <w:rFonts w:asciiTheme="minorHAnsi" w:hAnsiTheme="minorHAnsi" w:cstheme="minorHAnsi"/>
          <w:sz w:val="24"/>
          <w:szCs w:val="24"/>
        </w:rPr>
        <w:t xml:space="preserve">y la información sujeta a publicidad activa que en la misma se recoge. En definitiva, el informe remitido en las dos ocasiones es el correspondiente a ese Consejo General, solo que en el primer envío se cometió el error material de consignar otro Consejo General; error material que se subsanó con el segundo envío. </w:t>
      </w:r>
    </w:p>
    <w:p w:rsidR="0088684F" w:rsidRPr="00E0593C" w:rsidRDefault="00EB3E52" w:rsidP="00F259EF">
      <w:pPr>
        <w:spacing w:before="120" w:after="120" w:line="312" w:lineRule="auto"/>
        <w:jc w:val="both"/>
        <w:rPr>
          <w:rFonts w:asciiTheme="minorHAnsi" w:eastAsiaTheme="minorEastAsia" w:hAnsiTheme="minorHAnsi" w:cstheme="minorHAnsi"/>
          <w:bCs/>
          <w:szCs w:val="24"/>
          <w:lang w:eastAsia="es-ES"/>
        </w:rPr>
      </w:pPr>
      <w:r w:rsidRPr="00E0593C">
        <w:rPr>
          <w:rFonts w:asciiTheme="minorHAnsi" w:hAnsiTheme="minorHAnsi" w:cstheme="minorHAnsi"/>
          <w:szCs w:val="24"/>
        </w:rPr>
        <w:t xml:space="preserve">Por lo </w:t>
      </w:r>
      <w:r w:rsidR="008A0CBD" w:rsidRPr="00E0593C">
        <w:rPr>
          <w:rFonts w:asciiTheme="minorHAnsi" w:hAnsiTheme="minorHAnsi" w:cstheme="minorHAnsi"/>
          <w:szCs w:val="24"/>
        </w:rPr>
        <w:t>que respecta a</w:t>
      </w:r>
      <w:r w:rsidRPr="00E0593C">
        <w:rPr>
          <w:rFonts w:asciiTheme="minorHAnsi" w:hAnsiTheme="minorHAnsi" w:cstheme="minorHAnsi"/>
          <w:szCs w:val="24"/>
        </w:rPr>
        <w:t xml:space="preserve"> las dudas que les suscita</w:t>
      </w:r>
      <w:r w:rsidR="008A0CBD" w:rsidRPr="00E0593C">
        <w:rPr>
          <w:rFonts w:asciiTheme="minorHAnsi" w:hAnsiTheme="minorHAnsi" w:cstheme="minorHAnsi"/>
          <w:szCs w:val="24"/>
        </w:rPr>
        <w:t>n</w:t>
      </w:r>
      <w:r w:rsidRPr="00E0593C">
        <w:rPr>
          <w:rFonts w:asciiTheme="minorHAnsi" w:hAnsiTheme="minorHAnsi" w:cstheme="minorHAnsi"/>
          <w:szCs w:val="24"/>
        </w:rPr>
        <w:t xml:space="preserve"> el rigor de la metodología, este Consejo considera necesario remitirse al anexo que </w:t>
      </w:r>
      <w:r w:rsidR="008A0CBD" w:rsidRPr="00E0593C">
        <w:rPr>
          <w:rFonts w:asciiTheme="minorHAnsi" w:hAnsiTheme="minorHAnsi" w:cstheme="minorHAnsi"/>
          <w:szCs w:val="24"/>
        </w:rPr>
        <w:t xml:space="preserve">se adjunta </w:t>
      </w:r>
      <w:r w:rsidRPr="00E0593C">
        <w:rPr>
          <w:rFonts w:asciiTheme="minorHAnsi" w:hAnsiTheme="minorHAnsi" w:cstheme="minorHAnsi"/>
          <w:szCs w:val="24"/>
        </w:rPr>
        <w:t xml:space="preserve">al </w:t>
      </w:r>
      <w:r w:rsidR="00084DA8">
        <w:rPr>
          <w:rFonts w:asciiTheme="minorHAnsi" w:hAnsiTheme="minorHAnsi" w:cstheme="minorHAnsi"/>
          <w:szCs w:val="24"/>
        </w:rPr>
        <w:t xml:space="preserve">final del </w:t>
      </w:r>
      <w:r w:rsidRPr="00E0593C">
        <w:rPr>
          <w:rFonts w:asciiTheme="minorHAnsi" w:hAnsiTheme="minorHAnsi" w:cstheme="minorHAnsi"/>
          <w:szCs w:val="24"/>
        </w:rPr>
        <w:t>informe</w:t>
      </w:r>
      <w:r w:rsidR="00084DA8">
        <w:rPr>
          <w:rFonts w:asciiTheme="minorHAnsi" w:hAnsiTheme="minorHAnsi" w:cstheme="minorHAnsi"/>
          <w:szCs w:val="24"/>
        </w:rPr>
        <w:t>,</w:t>
      </w:r>
      <w:r w:rsidR="008A0CBD" w:rsidRPr="00E0593C">
        <w:rPr>
          <w:rFonts w:asciiTheme="minorHAnsi" w:hAnsiTheme="minorHAnsi" w:cstheme="minorHAnsi"/>
          <w:szCs w:val="24"/>
        </w:rPr>
        <w:t xml:space="preserve"> </w:t>
      </w:r>
      <w:r w:rsidRPr="00E0593C">
        <w:rPr>
          <w:rFonts w:asciiTheme="minorHAnsi" w:hAnsiTheme="minorHAnsi" w:cstheme="minorHAnsi"/>
          <w:szCs w:val="24"/>
        </w:rPr>
        <w:t>en el que se recogen los criterios de medición de los atributos de la información, así como al apartado introd</w:t>
      </w:r>
      <w:r w:rsidR="0088684F" w:rsidRPr="00E0593C">
        <w:rPr>
          <w:rFonts w:asciiTheme="minorHAnsi" w:hAnsiTheme="minorHAnsi" w:cstheme="minorHAnsi"/>
          <w:szCs w:val="24"/>
        </w:rPr>
        <w:t xml:space="preserve">uctorio del </w:t>
      </w:r>
      <w:r w:rsidR="008A0CBD" w:rsidRPr="00E0593C">
        <w:rPr>
          <w:rFonts w:asciiTheme="minorHAnsi" w:hAnsiTheme="minorHAnsi" w:cstheme="minorHAnsi"/>
          <w:szCs w:val="24"/>
        </w:rPr>
        <w:t xml:space="preserve">propio </w:t>
      </w:r>
      <w:r w:rsidR="0088684F" w:rsidRPr="00E0593C">
        <w:rPr>
          <w:rFonts w:asciiTheme="minorHAnsi" w:hAnsiTheme="minorHAnsi" w:cstheme="minorHAnsi"/>
          <w:szCs w:val="24"/>
        </w:rPr>
        <w:t xml:space="preserve">informe, en el que se relacionan </w:t>
      </w: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las obligaciones de publicidad activa </w:t>
      </w:r>
      <w:r w:rsidR="00084DA8">
        <w:rPr>
          <w:rFonts w:asciiTheme="minorHAnsi" w:eastAsiaTheme="minorEastAsia" w:hAnsiTheme="minorHAnsi" w:cstheme="minorHAnsi"/>
          <w:szCs w:val="24"/>
          <w:lang w:eastAsia="es-ES"/>
        </w:rPr>
        <w:t xml:space="preserve">de la LTAIBG (artículos 6 a 8) </w:t>
      </w:r>
      <w:r w:rsidR="0088684F" w:rsidRPr="00E0593C">
        <w:rPr>
          <w:rFonts w:asciiTheme="minorHAnsi" w:eastAsiaTheme="minorEastAsia" w:hAnsiTheme="minorHAnsi" w:cstheme="minorHAnsi"/>
          <w:szCs w:val="24"/>
          <w:lang w:eastAsia="es-ES"/>
        </w:rPr>
        <w:t>a las que se encu</w:t>
      </w:r>
      <w:r w:rsidR="00A17DB8" w:rsidRPr="00E0593C">
        <w:rPr>
          <w:rFonts w:asciiTheme="minorHAnsi" w:eastAsiaTheme="minorEastAsia" w:hAnsiTheme="minorHAnsi" w:cstheme="minorHAnsi"/>
          <w:szCs w:val="24"/>
          <w:lang w:eastAsia="es-ES"/>
        </w:rPr>
        <w:t>entran</w:t>
      </w:r>
      <w:r w:rsidR="0088684F"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 sujetas las corporaciones de derecho público, </w:t>
      </w:r>
      <w:r w:rsidR="00084DA8">
        <w:rPr>
          <w:rFonts w:asciiTheme="minorHAnsi" w:eastAsiaTheme="minorEastAsia" w:hAnsiTheme="minorHAnsi" w:cstheme="minorHAnsi"/>
          <w:szCs w:val="24"/>
          <w:lang w:eastAsia="es-ES"/>
        </w:rPr>
        <w:t>de acuerdo con</w:t>
      </w:r>
      <w:r w:rsidR="0088684F"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 la </w:t>
      </w: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>guía elaborada conjuntamente entre el Consejo de Transparencia y Buen Gobierno (CTBG) y Unión Profesional (UP)</w:t>
      </w:r>
      <w:r w:rsidR="008A0CBD"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 en 2016</w:t>
      </w: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. </w:t>
      </w:r>
      <w:r w:rsidR="0088684F" w:rsidRPr="00E0593C">
        <w:rPr>
          <w:rFonts w:asciiTheme="minorHAnsi" w:eastAsiaTheme="minorEastAsia" w:hAnsiTheme="minorHAnsi" w:cstheme="minorHAnsi"/>
          <w:szCs w:val="24"/>
          <w:lang w:eastAsia="es-ES"/>
        </w:rPr>
        <w:t>Si desean conocer más en profundidad la metodología empleada -</w:t>
      </w:r>
      <w:r w:rsidR="0088684F" w:rsidRPr="00E0593C">
        <w:rPr>
          <w:rFonts w:asciiTheme="minorHAnsi" w:hAnsiTheme="minorHAnsi" w:cstheme="minorHAnsi"/>
          <w:szCs w:val="24"/>
        </w:rPr>
        <w:t>metodología de evaluación y seguimiento de la transparencia (MESTA)- , pueden consultarla en el siguiente enlace:</w:t>
      </w:r>
    </w:p>
    <w:p w:rsidR="0088684F" w:rsidRPr="00E0593C" w:rsidRDefault="00D05D0B" w:rsidP="00F259EF">
      <w:pPr>
        <w:spacing w:before="120" w:after="120" w:line="312" w:lineRule="auto"/>
        <w:jc w:val="both"/>
        <w:rPr>
          <w:rFonts w:asciiTheme="minorHAnsi" w:eastAsiaTheme="minorEastAsia" w:hAnsiTheme="minorHAnsi" w:cstheme="minorHAnsi"/>
          <w:bCs/>
          <w:szCs w:val="24"/>
          <w:lang w:eastAsia="es-ES"/>
        </w:rPr>
      </w:pPr>
      <w:hyperlink r:id="rId8" w:history="1">
        <w:r w:rsidR="0088684F" w:rsidRPr="00E0593C">
          <w:rPr>
            <w:rStyle w:val="Hipervnculo"/>
            <w:rFonts w:asciiTheme="minorHAnsi" w:eastAsiaTheme="minorEastAsia" w:hAnsiTheme="minorHAnsi" w:cstheme="minorHAnsi"/>
            <w:bCs/>
            <w:szCs w:val="24"/>
            <w:lang w:eastAsia="es-ES"/>
          </w:rPr>
          <w:t>https://www.consejodetransparencia.es/ct_Home/Actividad/documentacion.html</w:t>
        </w:r>
      </w:hyperlink>
    </w:p>
    <w:p w:rsidR="00A17DB8" w:rsidRPr="00E0593C" w:rsidRDefault="0088684F" w:rsidP="00F259EF">
      <w:pPr>
        <w:spacing w:before="120" w:after="120" w:line="312" w:lineRule="auto"/>
        <w:jc w:val="both"/>
        <w:rPr>
          <w:rFonts w:asciiTheme="minorHAnsi" w:eastAsiaTheme="minorEastAsia" w:hAnsiTheme="minorHAnsi" w:cstheme="minorHAnsi"/>
          <w:szCs w:val="24"/>
          <w:lang w:eastAsia="es-ES"/>
        </w:rPr>
      </w:pP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Por último, la </w:t>
      </w:r>
      <w:r w:rsidR="00084DA8">
        <w:rPr>
          <w:rFonts w:asciiTheme="minorHAnsi" w:eastAsiaTheme="minorEastAsia" w:hAnsiTheme="minorHAnsi" w:cstheme="minorHAnsi"/>
          <w:szCs w:val="24"/>
          <w:lang w:eastAsia="es-ES"/>
        </w:rPr>
        <w:t>participación</w:t>
      </w: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 de la Fundación hay Derecho en estas evaluaciones se ha </w:t>
      </w:r>
      <w:r w:rsidR="00A17DB8"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centrado en cooperar con el Consejo de Transparencia y Buen Gobierno en la </w:t>
      </w: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>revis</w:t>
      </w:r>
      <w:r w:rsidR="00A17DB8" w:rsidRPr="00E0593C">
        <w:rPr>
          <w:rFonts w:asciiTheme="minorHAnsi" w:eastAsiaTheme="minorEastAsia" w:hAnsiTheme="minorHAnsi" w:cstheme="minorHAnsi"/>
          <w:szCs w:val="24"/>
          <w:lang w:eastAsia="es-ES"/>
        </w:rPr>
        <w:t>ión de</w:t>
      </w: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 las páginas web de los Consejos Generales y</w:t>
      </w:r>
      <w:r w:rsid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 el análisis de</w:t>
      </w: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 la informa</w:t>
      </w:r>
      <w:r w:rsidR="00A17DB8" w:rsidRPr="00E0593C">
        <w:rPr>
          <w:rFonts w:asciiTheme="minorHAnsi" w:eastAsiaTheme="minorEastAsia" w:hAnsiTheme="minorHAnsi" w:cstheme="minorHAnsi"/>
          <w:szCs w:val="24"/>
          <w:lang w:eastAsia="es-ES"/>
        </w:rPr>
        <w:t>ción</w:t>
      </w:r>
      <w:r w:rsidRPr="00E0593C">
        <w:rPr>
          <w:rFonts w:asciiTheme="minorHAnsi" w:eastAsiaTheme="minorEastAsia" w:hAnsiTheme="minorHAnsi" w:cstheme="minorHAnsi"/>
          <w:szCs w:val="24"/>
          <w:lang w:eastAsia="es-ES"/>
        </w:rPr>
        <w:t xml:space="preserve"> sobre publ</w:t>
      </w:r>
      <w:r w:rsidR="00A17DB8" w:rsidRPr="00E0593C">
        <w:rPr>
          <w:rFonts w:asciiTheme="minorHAnsi" w:eastAsiaTheme="minorEastAsia" w:hAnsiTheme="minorHAnsi" w:cstheme="minorHAnsi"/>
          <w:szCs w:val="24"/>
          <w:lang w:eastAsia="es-ES"/>
        </w:rPr>
        <w:t>icidad activa para la elaboración conjunta de los informes</w:t>
      </w:r>
      <w:r w:rsidR="00084DA8">
        <w:rPr>
          <w:rFonts w:asciiTheme="minorHAnsi" w:eastAsiaTheme="minorEastAsia" w:hAnsiTheme="minorHAnsi" w:cstheme="minorHAnsi"/>
          <w:szCs w:val="24"/>
          <w:lang w:eastAsia="es-ES"/>
        </w:rPr>
        <w:t xml:space="preserve"> de evaluación.</w:t>
      </w:r>
    </w:p>
    <w:p w:rsidR="00084DA8" w:rsidRPr="00084DA8" w:rsidRDefault="00A17DB8" w:rsidP="00F259EF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>Por lo que respecta a la segunda objeción, relativa a que el informe pone el foco en exceso en las obligaciones de publicidad activa correspondientes a la información institucional</w:t>
      </w:r>
      <w:r w:rsid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y organizativa e información económica, y sólo de forma somera </w:t>
      </w:r>
      <w:r w:rsidR="005B21BA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en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las </w:t>
      </w:r>
      <w:r w:rsidR="00E0593C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obligaciones contenidas en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la Ley 2/1974, de 13 de febrero, </w:t>
      </w:r>
      <w:r w:rsidR="005B21BA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>sobre Colegios Profesionales</w:t>
      </w:r>
      <w:r w:rsidR="00084DA8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 (LCP)</w:t>
      </w:r>
      <w:r w:rsidR="005B21BA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>,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 </w:t>
      </w:r>
      <w:r w:rsidR="00E0593C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es necesario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recordar </w:t>
      </w:r>
      <w:r w:rsidR="00084DA8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de nuevo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>que el informe se ciñe, como no puede ser de otra manera, a la i</w:t>
      </w:r>
      <w:r w:rsidRPr="00BF37E7">
        <w:rPr>
          <w:rFonts w:asciiTheme="minorHAnsi" w:hAnsiTheme="minorHAnsi" w:cstheme="minorHAnsi"/>
          <w:sz w:val="24"/>
          <w:szCs w:val="24"/>
        </w:rPr>
        <w:t xml:space="preserve">nformación sujeta a publicidad activa </w:t>
      </w:r>
      <w:r w:rsidR="00855BF8" w:rsidRPr="00BF37E7">
        <w:rPr>
          <w:rFonts w:asciiTheme="minorHAnsi" w:hAnsiTheme="minorHAnsi" w:cstheme="minorHAnsi"/>
          <w:sz w:val="24"/>
          <w:szCs w:val="24"/>
        </w:rPr>
        <w:t xml:space="preserve">recogida en el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Capítulo II del Título I de la </w:t>
      </w:r>
      <w:r w:rsidR="00084DA8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mencionada d </w:t>
      </w:r>
      <w:r w:rsidR="00855BF8" w:rsidRPr="00BF37E7">
        <w:rPr>
          <w:rFonts w:asciiTheme="minorHAnsi" w:hAnsiTheme="minorHAnsi" w:cstheme="minorHAnsi"/>
          <w:color w:val="000000"/>
          <w:sz w:val="24"/>
          <w:szCs w:val="24"/>
        </w:rPr>
        <w:t xml:space="preserve">Ley 19/2013, de 9 de diciembre,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teniendo en cuenta lo indicado en la </w:t>
      </w:r>
      <w:r w:rsidR="00E0593C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mencionada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guía elaborada conjuntamente entre el Consejo de Transparencia y Buen Gobierno (CTBG) y Unión Profesional (UP). </w:t>
      </w:r>
      <w:r w:rsidR="00855BF8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>En e</w:t>
      </w:r>
      <w:r w:rsidR="00E0593C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>ste sentido,</w:t>
      </w:r>
      <w:r w:rsidR="00855BF8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el artículo 34 de la referida </w:t>
      </w:r>
      <w:r w:rsidRPr="00BF37E7">
        <w:rPr>
          <w:rFonts w:asciiTheme="minorHAnsi" w:eastAsiaTheme="minorEastAsia" w:hAnsiTheme="minorHAnsi" w:cstheme="minorHAnsi"/>
          <w:bCs/>
          <w:sz w:val="24"/>
          <w:szCs w:val="24"/>
          <w:lang w:eastAsia="es-ES"/>
        </w:rPr>
        <w:t xml:space="preserve">Ley 19/2013, de 9 de diciembre, 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atribuye a este Consejo de Transparencia y Buen Gobierno la finalidad de </w:t>
      </w:r>
      <w:r w:rsidRPr="00BF37E7">
        <w:rPr>
          <w:rFonts w:asciiTheme="minorHAnsi" w:eastAsiaTheme="minorEastAsia" w:hAnsiTheme="minorHAnsi" w:cstheme="minorHAnsi"/>
          <w:i/>
          <w:sz w:val="24"/>
          <w:szCs w:val="24"/>
          <w:lang w:eastAsia="es-ES"/>
        </w:rPr>
        <w:t>“velar por el cumplimiento de las obligaciones de publicidad”</w:t>
      </w:r>
      <w:r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 xml:space="preserve"> establecidas en la Ley y en su artículo 38.1.d) se le encomienda la función de </w:t>
      </w:r>
      <w:r w:rsidR="00E0593C" w:rsidRPr="00BF37E7">
        <w:rPr>
          <w:rFonts w:asciiTheme="minorHAnsi" w:eastAsiaTheme="minorEastAsia" w:hAnsiTheme="minorHAnsi" w:cstheme="minorHAnsi"/>
          <w:sz w:val="24"/>
          <w:szCs w:val="24"/>
          <w:lang w:eastAsia="es-ES"/>
        </w:rPr>
        <w:t>“</w:t>
      </w:r>
      <w:r w:rsidRPr="00BF37E7">
        <w:rPr>
          <w:rFonts w:asciiTheme="minorHAnsi" w:eastAsiaTheme="minorEastAsia" w:hAnsiTheme="minorHAnsi" w:cstheme="minorHAnsi"/>
          <w:bCs/>
          <w:i/>
          <w:sz w:val="24"/>
          <w:szCs w:val="24"/>
          <w:lang w:eastAsia="es-ES"/>
        </w:rPr>
        <w:t>Evaluar el grado de aplicación de esta Ley. Para ello, elaborará anualmente una memoria en la que se incluirá información sobre el cumplimiento de las obligaciones previstas y que será presentada ante las Cortes Generales</w:t>
      </w:r>
      <w:r w:rsidR="00E0593C" w:rsidRPr="00BF37E7">
        <w:rPr>
          <w:rFonts w:asciiTheme="minorHAnsi" w:eastAsiaTheme="minorEastAsia" w:hAnsiTheme="minorHAnsi" w:cstheme="minorHAnsi"/>
          <w:bCs/>
          <w:i/>
          <w:sz w:val="24"/>
          <w:szCs w:val="24"/>
          <w:lang w:eastAsia="es-ES"/>
        </w:rPr>
        <w:t>”</w:t>
      </w:r>
      <w:r w:rsidRPr="00BF37E7">
        <w:rPr>
          <w:rFonts w:asciiTheme="minorHAnsi" w:eastAsiaTheme="minorEastAsia" w:hAnsiTheme="minorHAnsi" w:cstheme="minorHAnsi"/>
          <w:bCs/>
          <w:sz w:val="24"/>
          <w:szCs w:val="24"/>
          <w:lang w:eastAsia="es-ES"/>
        </w:rPr>
        <w:t xml:space="preserve">. </w:t>
      </w:r>
      <w:r w:rsidR="00084DA8">
        <w:rPr>
          <w:rFonts w:asciiTheme="minorHAnsi" w:eastAsiaTheme="minorEastAsia" w:hAnsiTheme="minorHAnsi" w:cstheme="minorHAnsi"/>
          <w:bCs/>
          <w:sz w:val="24"/>
          <w:szCs w:val="24"/>
          <w:lang w:eastAsia="es-ES"/>
        </w:rPr>
        <w:t>C</w:t>
      </w:r>
      <w:r w:rsidRPr="00BF37E7">
        <w:rPr>
          <w:rFonts w:asciiTheme="minorHAnsi" w:eastAsiaTheme="minorEastAsia" w:hAnsiTheme="minorHAnsi" w:cstheme="minorHAnsi"/>
          <w:bCs/>
          <w:sz w:val="24"/>
          <w:szCs w:val="24"/>
          <w:lang w:eastAsia="es-ES"/>
        </w:rPr>
        <w:t>on fundamento en esta competencia este Consejo ha llevado a cabo la evaluación del grado de cumplimiento de las obligaciones de publicidad activa</w:t>
      </w:r>
      <w:r w:rsidR="00084DA8">
        <w:rPr>
          <w:rFonts w:asciiTheme="minorHAnsi" w:eastAsiaTheme="minorEastAsia" w:hAnsiTheme="minorHAnsi" w:cstheme="minorHAnsi"/>
          <w:bCs/>
          <w:sz w:val="24"/>
          <w:szCs w:val="24"/>
          <w:lang w:eastAsia="es-ES"/>
        </w:rPr>
        <w:t xml:space="preserve"> de la LTAIBG</w:t>
      </w:r>
      <w:r w:rsidRPr="00BF37E7">
        <w:rPr>
          <w:rFonts w:asciiTheme="minorHAnsi" w:eastAsiaTheme="minorEastAsia" w:hAnsiTheme="minorHAnsi" w:cstheme="minorHAnsi"/>
          <w:bCs/>
          <w:sz w:val="24"/>
          <w:szCs w:val="24"/>
          <w:lang w:eastAsia="es-ES"/>
        </w:rPr>
        <w:t xml:space="preserve"> de los Consejos Generales de los Colegios estatales</w:t>
      </w:r>
      <w:r w:rsidR="00084DA8">
        <w:rPr>
          <w:rFonts w:asciiTheme="minorHAnsi" w:eastAsiaTheme="minorEastAsia" w:hAnsiTheme="minorHAnsi" w:cstheme="minorHAnsi"/>
          <w:bCs/>
          <w:sz w:val="24"/>
          <w:szCs w:val="24"/>
          <w:lang w:eastAsia="es-ES"/>
        </w:rPr>
        <w:t>.</w:t>
      </w:r>
    </w:p>
    <w:p w:rsidR="00084DA8" w:rsidRPr="00084DA8" w:rsidRDefault="00BF37E7" w:rsidP="00F259EF">
      <w:pPr>
        <w:spacing w:before="120" w:after="120" w:line="312" w:lineRule="auto"/>
        <w:jc w:val="both"/>
        <w:rPr>
          <w:rFonts w:asciiTheme="minorHAnsi" w:hAnsiTheme="minorHAnsi" w:cstheme="minorHAnsi"/>
        </w:rPr>
      </w:pPr>
      <w:r w:rsidRPr="00084DA8">
        <w:rPr>
          <w:rFonts w:asciiTheme="minorHAnsi" w:hAnsiTheme="minorHAnsi" w:cstheme="minorHAnsi"/>
        </w:rPr>
        <w:t xml:space="preserve">Por otro lado, </w:t>
      </w:r>
      <w:r w:rsidR="00E0593C" w:rsidRPr="00084DA8">
        <w:rPr>
          <w:rFonts w:asciiTheme="minorHAnsi" w:hAnsiTheme="minorHAnsi" w:cstheme="minorHAnsi"/>
        </w:rPr>
        <w:t>m</w:t>
      </w:r>
      <w:r w:rsidR="00B325C0" w:rsidRPr="00084DA8">
        <w:rPr>
          <w:rFonts w:asciiTheme="minorHAnsi" w:hAnsiTheme="minorHAnsi" w:cstheme="minorHAnsi"/>
        </w:rPr>
        <w:t xml:space="preserve">ientras </w:t>
      </w:r>
      <w:r w:rsidR="00E0593C" w:rsidRPr="00084DA8">
        <w:rPr>
          <w:rFonts w:asciiTheme="minorHAnsi" w:hAnsiTheme="minorHAnsi" w:cstheme="minorHAnsi"/>
        </w:rPr>
        <w:t xml:space="preserve">la </w:t>
      </w:r>
      <w:r w:rsidR="00E0593C" w:rsidRPr="00084DA8">
        <w:rPr>
          <w:rFonts w:asciiTheme="minorHAnsi" w:eastAsiaTheme="minorEastAsia" w:hAnsiTheme="minorHAnsi" w:cstheme="minorHAnsi"/>
        </w:rPr>
        <w:t xml:space="preserve">guía elaborada </w:t>
      </w:r>
      <w:r w:rsidRPr="00084DA8">
        <w:rPr>
          <w:rFonts w:asciiTheme="minorHAnsi" w:eastAsiaTheme="minorEastAsia" w:hAnsiTheme="minorHAnsi" w:cstheme="minorHAnsi"/>
        </w:rPr>
        <w:t xml:space="preserve">en 2016 </w:t>
      </w:r>
      <w:r w:rsidR="00E0593C" w:rsidRPr="00084DA8">
        <w:rPr>
          <w:rFonts w:asciiTheme="minorHAnsi" w:eastAsiaTheme="minorEastAsia" w:hAnsiTheme="minorHAnsi" w:cstheme="minorHAnsi"/>
        </w:rPr>
        <w:t>conjuntamente entre el Consejo de Transparencia y Buen Gobierno (CTBG) y Unión Profesional (UP)</w:t>
      </w:r>
      <w:r w:rsidR="00B325C0" w:rsidRPr="00084DA8">
        <w:rPr>
          <w:rFonts w:asciiTheme="minorHAnsi" w:hAnsiTheme="minorHAnsi" w:cstheme="minorHAnsi"/>
        </w:rPr>
        <w:t xml:space="preserve"> no sea objeto de modificación, este Consejo entiende que no puede exigir un mayor alcance en las informaciones sujetas a publicidad activa</w:t>
      </w:r>
      <w:r w:rsidR="00084DA8">
        <w:rPr>
          <w:rFonts w:asciiTheme="minorHAnsi" w:hAnsiTheme="minorHAnsi" w:cstheme="minorHAnsi"/>
        </w:rPr>
        <w:t>, pero siempre dentro del marco de la LTAIBG</w:t>
      </w:r>
      <w:r w:rsidR="00084DA8" w:rsidRPr="00084DA8">
        <w:rPr>
          <w:rFonts w:asciiTheme="minorHAnsi" w:eastAsiaTheme="minorEastAsia" w:hAnsiTheme="minorHAnsi" w:cstheme="minorHAnsi"/>
          <w:bCs/>
          <w:szCs w:val="24"/>
          <w:lang w:eastAsia="es-ES"/>
        </w:rPr>
        <w:t xml:space="preserve"> sin perjuicio, obviamente, de la aplicación de otras obligaciones de transparencia o publicidad contenidas en la normativa autonómica o en otras disposiciones específicas, como puede ser la citada LCP</w:t>
      </w:r>
      <w:r w:rsidR="00D05D0B">
        <w:rPr>
          <w:rFonts w:asciiTheme="minorHAnsi" w:eastAsiaTheme="minorEastAsia" w:hAnsiTheme="minorHAnsi" w:cstheme="minorHAnsi"/>
          <w:bCs/>
          <w:szCs w:val="24"/>
          <w:lang w:eastAsia="es-ES"/>
        </w:rPr>
        <w:t>, pero que</w:t>
      </w:r>
      <w:r w:rsidR="00F259EF">
        <w:rPr>
          <w:rFonts w:asciiTheme="minorHAnsi" w:eastAsiaTheme="minorEastAsia" w:hAnsiTheme="minorHAnsi" w:cstheme="minorHAnsi"/>
          <w:bCs/>
          <w:szCs w:val="24"/>
          <w:lang w:eastAsia="es-ES"/>
        </w:rPr>
        <w:t>,</w:t>
      </w:r>
      <w:r w:rsidR="00D05D0B">
        <w:rPr>
          <w:rFonts w:asciiTheme="minorHAnsi" w:eastAsiaTheme="minorEastAsia" w:hAnsiTheme="minorHAnsi" w:cstheme="minorHAnsi"/>
          <w:bCs/>
          <w:szCs w:val="24"/>
          <w:lang w:eastAsia="es-ES"/>
        </w:rPr>
        <w:t xml:space="preserve"> e</w:t>
      </w:r>
      <w:r w:rsidR="00F259EF">
        <w:rPr>
          <w:rFonts w:asciiTheme="minorHAnsi" w:eastAsiaTheme="minorEastAsia" w:hAnsiTheme="minorHAnsi" w:cstheme="minorHAnsi"/>
          <w:bCs/>
          <w:szCs w:val="24"/>
          <w:lang w:eastAsia="es-ES"/>
        </w:rPr>
        <w:t>n</w:t>
      </w:r>
      <w:r w:rsidR="00D05D0B">
        <w:rPr>
          <w:rFonts w:asciiTheme="minorHAnsi" w:eastAsiaTheme="minorEastAsia" w:hAnsiTheme="minorHAnsi" w:cstheme="minorHAnsi"/>
          <w:bCs/>
          <w:szCs w:val="24"/>
          <w:lang w:eastAsia="es-ES"/>
        </w:rPr>
        <w:t xml:space="preserve"> principio, no caben ser valoradas por este Consejo al trascender del ámbito de sus competencias</w:t>
      </w:r>
      <w:r w:rsidR="00F259EF">
        <w:rPr>
          <w:rFonts w:asciiTheme="minorHAnsi" w:eastAsiaTheme="minorEastAsia" w:hAnsiTheme="minorHAnsi" w:cstheme="minorHAnsi"/>
          <w:bCs/>
          <w:szCs w:val="24"/>
          <w:lang w:eastAsia="es-ES"/>
        </w:rPr>
        <w:t xml:space="preserve"> </w:t>
      </w:r>
      <w:r w:rsidR="00B325C0" w:rsidRPr="00084DA8">
        <w:rPr>
          <w:rFonts w:asciiTheme="minorHAnsi" w:hAnsiTheme="minorHAnsi" w:cstheme="minorHAnsi"/>
        </w:rPr>
        <w:t>No obstante lo anterior, toda la información publicada que pueda ser relevante desde la perspectiva de la transparencia es objeto de nuestro informe: bien en los apartados I y II, dedicados a la información de obligada publicación</w:t>
      </w:r>
      <w:r w:rsidRPr="00084DA8">
        <w:rPr>
          <w:rFonts w:asciiTheme="minorHAnsi" w:hAnsiTheme="minorHAnsi" w:cstheme="minorHAnsi"/>
        </w:rPr>
        <w:t xml:space="preserve"> de acuerdo con la ley 19/2013</w:t>
      </w:r>
      <w:r w:rsidR="00B325C0" w:rsidRPr="00084DA8">
        <w:rPr>
          <w:rFonts w:asciiTheme="minorHAnsi" w:hAnsiTheme="minorHAnsi" w:cstheme="minorHAnsi"/>
        </w:rPr>
        <w:t xml:space="preserve">, bien en el apartado IV dedicado a la transparencia voluntaria donde pueden comprobar que se ha </w:t>
      </w:r>
      <w:r w:rsidR="00B325C0" w:rsidRPr="00084DA8">
        <w:rPr>
          <w:rFonts w:asciiTheme="minorHAnsi" w:hAnsiTheme="minorHAnsi" w:cstheme="minorHAnsi"/>
        </w:rPr>
        <w:lastRenderedPageBreak/>
        <w:t>incorporado la información que se menciona en su escrito</w:t>
      </w:r>
      <w:r w:rsidRPr="00084DA8">
        <w:rPr>
          <w:rFonts w:asciiTheme="minorHAnsi" w:hAnsiTheme="minorHAnsi" w:cstheme="minorHAnsi"/>
        </w:rPr>
        <w:t xml:space="preserve">, pero que no es objeto de valoración, por las razones </w:t>
      </w:r>
      <w:r w:rsidR="00F259EF">
        <w:rPr>
          <w:rFonts w:asciiTheme="minorHAnsi" w:hAnsiTheme="minorHAnsi" w:cstheme="minorHAnsi"/>
        </w:rPr>
        <w:t>a</w:t>
      </w:r>
      <w:r w:rsidRPr="00084DA8">
        <w:rPr>
          <w:rFonts w:asciiTheme="minorHAnsi" w:hAnsiTheme="minorHAnsi" w:cstheme="minorHAnsi"/>
        </w:rPr>
        <w:t>puntadas</w:t>
      </w:r>
      <w:r w:rsidR="00B325C0" w:rsidRPr="00084DA8">
        <w:rPr>
          <w:rFonts w:asciiTheme="minorHAnsi" w:hAnsiTheme="minorHAnsi" w:cstheme="minorHAnsi"/>
        </w:rPr>
        <w:t>.</w:t>
      </w:r>
      <w:r w:rsidR="00084DA8" w:rsidRPr="00084DA8">
        <w:rPr>
          <w:rFonts w:asciiTheme="minorHAnsi" w:eastAsiaTheme="minorEastAsia" w:hAnsiTheme="minorHAnsi" w:cstheme="minorHAnsi"/>
          <w:bCs/>
          <w:szCs w:val="24"/>
          <w:lang w:eastAsia="es-ES"/>
        </w:rPr>
        <w:t xml:space="preserve"> </w:t>
      </w:r>
    </w:p>
    <w:p w:rsidR="00B325C0" w:rsidRPr="00F259EF" w:rsidRDefault="00B325C0" w:rsidP="00F259E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F259EF">
        <w:rPr>
          <w:rFonts w:asciiTheme="minorHAnsi" w:hAnsiTheme="minorHAnsi" w:cstheme="minorHAnsi"/>
          <w:szCs w:val="24"/>
        </w:rPr>
        <w:t>Finalmente señalar que este Consejo valora muy positivamente la disposición del C</w:t>
      </w:r>
      <w:r w:rsidR="00BF37E7" w:rsidRPr="00F259EF">
        <w:rPr>
          <w:rFonts w:asciiTheme="minorHAnsi" w:hAnsiTheme="minorHAnsi" w:cstheme="minorHAnsi"/>
          <w:szCs w:val="24"/>
        </w:rPr>
        <w:t xml:space="preserve">onsejo </w:t>
      </w:r>
      <w:r w:rsidRPr="00F259EF">
        <w:rPr>
          <w:rFonts w:asciiTheme="minorHAnsi" w:hAnsiTheme="minorHAnsi" w:cstheme="minorHAnsi"/>
          <w:szCs w:val="24"/>
        </w:rPr>
        <w:t>G</w:t>
      </w:r>
      <w:r w:rsidR="00BF37E7" w:rsidRPr="00F259EF">
        <w:rPr>
          <w:rFonts w:asciiTheme="minorHAnsi" w:hAnsiTheme="minorHAnsi" w:cstheme="minorHAnsi"/>
          <w:szCs w:val="24"/>
        </w:rPr>
        <w:t xml:space="preserve">eneral de Colegios Oficiales de Ingenieros Técnicos Agrícolas </w:t>
      </w:r>
      <w:r w:rsidRPr="00F259EF">
        <w:rPr>
          <w:rFonts w:asciiTheme="minorHAnsi" w:hAnsiTheme="minorHAnsi" w:cstheme="minorHAnsi"/>
          <w:szCs w:val="24"/>
        </w:rPr>
        <w:t xml:space="preserve">a aplicar las recomendaciones efectuadas </w:t>
      </w:r>
      <w:r w:rsidR="00F259EF" w:rsidRPr="00F259EF">
        <w:rPr>
          <w:rFonts w:asciiTheme="minorHAnsi" w:hAnsiTheme="minorHAnsi" w:cstheme="minorHAnsi"/>
          <w:szCs w:val="24"/>
        </w:rPr>
        <w:t xml:space="preserve">en nuestro informe </w:t>
      </w:r>
      <w:r w:rsidRPr="00F259EF">
        <w:rPr>
          <w:rFonts w:asciiTheme="minorHAnsi" w:hAnsiTheme="minorHAnsi" w:cstheme="minorHAnsi"/>
          <w:szCs w:val="24"/>
        </w:rPr>
        <w:t>y en consecuencia, espera que cuando el año que viene</w:t>
      </w:r>
      <w:r w:rsidR="00BF37E7" w:rsidRPr="00F259EF">
        <w:rPr>
          <w:rFonts w:asciiTheme="minorHAnsi" w:hAnsiTheme="minorHAnsi" w:cstheme="minorHAnsi"/>
          <w:szCs w:val="24"/>
        </w:rPr>
        <w:t xml:space="preserve"> se </w:t>
      </w:r>
      <w:r w:rsidRPr="00F259EF">
        <w:rPr>
          <w:rFonts w:asciiTheme="minorHAnsi" w:hAnsiTheme="minorHAnsi" w:cstheme="minorHAnsi"/>
          <w:szCs w:val="24"/>
        </w:rPr>
        <w:t xml:space="preserve">evalúe el grado de cumplimento de las recomendaciones recogidas en </w:t>
      </w:r>
      <w:r w:rsidR="00BF37E7" w:rsidRPr="00F259EF">
        <w:rPr>
          <w:rFonts w:asciiTheme="minorHAnsi" w:hAnsiTheme="minorHAnsi" w:cstheme="minorHAnsi"/>
          <w:szCs w:val="24"/>
        </w:rPr>
        <w:t>nuestro informe</w:t>
      </w:r>
      <w:r w:rsidRPr="00F259EF">
        <w:rPr>
          <w:rFonts w:asciiTheme="minorHAnsi" w:hAnsiTheme="minorHAnsi" w:cstheme="minorHAnsi"/>
          <w:szCs w:val="24"/>
        </w:rPr>
        <w:t xml:space="preserve"> obtenga un valoración positiva que muestre el esfuerzo realizado en la mejora en el cumplimiento de las obligaciones de publicidad activa</w:t>
      </w:r>
      <w:r w:rsidR="00BF37E7" w:rsidRPr="00F259EF">
        <w:rPr>
          <w:rFonts w:asciiTheme="minorHAnsi" w:hAnsiTheme="minorHAnsi" w:cstheme="minorHAnsi"/>
          <w:szCs w:val="24"/>
        </w:rPr>
        <w:t xml:space="preserve"> contenidas en la Ley 19/2013</w:t>
      </w:r>
      <w:r w:rsidRPr="00F259EF">
        <w:rPr>
          <w:rFonts w:asciiTheme="minorHAnsi" w:hAnsiTheme="minorHAnsi" w:cstheme="minorHAnsi"/>
          <w:szCs w:val="24"/>
        </w:rPr>
        <w:t xml:space="preserve">. </w:t>
      </w:r>
    </w:p>
    <w:p w:rsidR="00D23111" w:rsidRPr="00E0593C" w:rsidRDefault="00D23111" w:rsidP="00F259EF">
      <w:pPr>
        <w:pStyle w:val="Prrafodelista"/>
        <w:autoSpaceDE w:val="0"/>
        <w:autoSpaceDN w:val="0"/>
        <w:adjustRightInd w:val="0"/>
        <w:spacing w:before="120" w:after="120" w:line="312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:rsidR="00D23111" w:rsidRPr="00E0593C" w:rsidRDefault="00D23111" w:rsidP="00D23111">
      <w:pPr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  <w:r w:rsidRPr="00E0593C">
        <w:rPr>
          <w:rFonts w:asciiTheme="minorHAnsi" w:hAnsiTheme="minorHAnsi" w:cstheme="minorHAnsi"/>
          <w:szCs w:val="24"/>
        </w:rPr>
        <w:t>Madrid,</w:t>
      </w:r>
      <w:r w:rsidR="00855BF8" w:rsidRPr="00E0593C">
        <w:rPr>
          <w:rFonts w:asciiTheme="minorHAnsi" w:hAnsiTheme="minorHAnsi" w:cstheme="minorHAnsi"/>
          <w:szCs w:val="24"/>
        </w:rPr>
        <w:t xml:space="preserve"> </w:t>
      </w:r>
      <w:r w:rsidR="00E0593C" w:rsidRPr="00E0593C">
        <w:rPr>
          <w:rFonts w:asciiTheme="minorHAnsi" w:hAnsiTheme="minorHAnsi" w:cstheme="minorHAnsi"/>
          <w:szCs w:val="24"/>
        </w:rPr>
        <w:t>julio</w:t>
      </w:r>
      <w:r w:rsidRPr="00E0593C">
        <w:rPr>
          <w:rFonts w:asciiTheme="minorHAnsi" w:hAnsiTheme="minorHAnsi" w:cstheme="minorHAnsi"/>
          <w:szCs w:val="24"/>
        </w:rPr>
        <w:t xml:space="preserve"> de 2020</w:t>
      </w:r>
    </w:p>
    <w:sectPr w:rsidR="00D23111" w:rsidRPr="00E0593C" w:rsidSect="002206BA">
      <w:headerReference w:type="default" r:id="rId9"/>
      <w:footerReference w:type="default" r:id="rId10"/>
      <w:headerReference w:type="first" r:id="rId11"/>
      <w:pgSz w:w="11906" w:h="16838" w:code="9"/>
      <w:pgMar w:top="1418" w:right="1134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0B" w:rsidRDefault="00D05D0B" w:rsidP="00344FE7">
      <w:pPr>
        <w:spacing w:after="0" w:line="240" w:lineRule="auto"/>
      </w:pPr>
      <w:r>
        <w:separator/>
      </w:r>
    </w:p>
  </w:endnote>
  <w:endnote w:type="continuationSeparator" w:id="0">
    <w:p w:rsidR="00D05D0B" w:rsidRDefault="00D05D0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05D0B" w:rsidRPr="00C23F36" w:rsidRDefault="00D05D0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F259EF">
          <w:rPr>
            <w:noProof/>
            <w:sz w:val="20"/>
            <w:szCs w:val="20"/>
          </w:rPr>
          <w:t>3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0B" w:rsidRDefault="00D05D0B" w:rsidP="00344FE7">
      <w:pPr>
        <w:spacing w:after="0" w:line="240" w:lineRule="auto"/>
      </w:pPr>
      <w:r>
        <w:separator/>
      </w:r>
    </w:p>
  </w:footnote>
  <w:footnote w:type="continuationSeparator" w:id="0">
    <w:p w:rsidR="00D05D0B" w:rsidRDefault="00D05D0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0B" w:rsidRDefault="00D05D0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807C621" wp14:editId="5D48D37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5D0B" w:rsidRDefault="00D05D0B">
    <w:pPr>
      <w:pStyle w:val="Encabezado"/>
    </w:pPr>
  </w:p>
  <w:p w:rsidR="00D05D0B" w:rsidRDefault="00D05D0B" w:rsidP="00344FE7">
    <w:pPr>
      <w:pStyle w:val="Encabezado"/>
    </w:pPr>
  </w:p>
  <w:p w:rsidR="00D05D0B" w:rsidRDefault="00D05D0B" w:rsidP="00344FE7">
    <w:pPr>
      <w:pStyle w:val="Encabezado"/>
    </w:pPr>
  </w:p>
  <w:p w:rsidR="00D05D0B" w:rsidRDefault="00D05D0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0B" w:rsidRDefault="00D05D0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4DE4DF88" wp14:editId="60604ECE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69BC0BFA" wp14:editId="6E24592C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478"/>
    <w:multiLevelType w:val="hybridMultilevel"/>
    <w:tmpl w:val="182CD3A8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604E1B"/>
    <w:multiLevelType w:val="hybridMultilevel"/>
    <w:tmpl w:val="2A5A2484"/>
    <w:lvl w:ilvl="0" w:tplc="88860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43A20EC"/>
    <w:multiLevelType w:val="hybridMultilevel"/>
    <w:tmpl w:val="D9C04096"/>
    <w:lvl w:ilvl="0" w:tplc="88860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084DA8"/>
    <w:rsid w:val="000C7029"/>
    <w:rsid w:val="001257F9"/>
    <w:rsid w:val="0014196C"/>
    <w:rsid w:val="001750A8"/>
    <w:rsid w:val="00175D6C"/>
    <w:rsid w:val="0018324C"/>
    <w:rsid w:val="001B16D9"/>
    <w:rsid w:val="001E44BC"/>
    <w:rsid w:val="002206BA"/>
    <w:rsid w:val="00251194"/>
    <w:rsid w:val="002A4771"/>
    <w:rsid w:val="002E7038"/>
    <w:rsid w:val="002F5D0B"/>
    <w:rsid w:val="003259B9"/>
    <w:rsid w:val="00344FE7"/>
    <w:rsid w:val="00351475"/>
    <w:rsid w:val="003656B1"/>
    <w:rsid w:val="003B5DE7"/>
    <w:rsid w:val="003F0972"/>
    <w:rsid w:val="003F38BD"/>
    <w:rsid w:val="004108BB"/>
    <w:rsid w:val="004B15B8"/>
    <w:rsid w:val="005B21BA"/>
    <w:rsid w:val="005D26C1"/>
    <w:rsid w:val="00614890"/>
    <w:rsid w:val="006F17B5"/>
    <w:rsid w:val="006F5890"/>
    <w:rsid w:val="0071472F"/>
    <w:rsid w:val="007342F2"/>
    <w:rsid w:val="007A662D"/>
    <w:rsid w:val="007C00E5"/>
    <w:rsid w:val="007C0642"/>
    <w:rsid w:val="007D24E2"/>
    <w:rsid w:val="00815DA2"/>
    <w:rsid w:val="00855BF8"/>
    <w:rsid w:val="0088684F"/>
    <w:rsid w:val="0089717A"/>
    <w:rsid w:val="008A0CBD"/>
    <w:rsid w:val="008B79BD"/>
    <w:rsid w:val="00901F1F"/>
    <w:rsid w:val="009029E0"/>
    <w:rsid w:val="009557B1"/>
    <w:rsid w:val="009B7ADA"/>
    <w:rsid w:val="009D2560"/>
    <w:rsid w:val="009D6677"/>
    <w:rsid w:val="009E30AA"/>
    <w:rsid w:val="00A17DB8"/>
    <w:rsid w:val="00AE5BF4"/>
    <w:rsid w:val="00B2797F"/>
    <w:rsid w:val="00B31F84"/>
    <w:rsid w:val="00B325C0"/>
    <w:rsid w:val="00B35A53"/>
    <w:rsid w:val="00BC7A82"/>
    <w:rsid w:val="00BF37E7"/>
    <w:rsid w:val="00C01613"/>
    <w:rsid w:val="00C23F36"/>
    <w:rsid w:val="00C305B6"/>
    <w:rsid w:val="00C3135F"/>
    <w:rsid w:val="00C736B9"/>
    <w:rsid w:val="00C82AB2"/>
    <w:rsid w:val="00C87BC3"/>
    <w:rsid w:val="00CF0704"/>
    <w:rsid w:val="00D05D0B"/>
    <w:rsid w:val="00D23111"/>
    <w:rsid w:val="00D445A4"/>
    <w:rsid w:val="00DB21EC"/>
    <w:rsid w:val="00DB2CB4"/>
    <w:rsid w:val="00DB2CCC"/>
    <w:rsid w:val="00DD07B5"/>
    <w:rsid w:val="00E03C82"/>
    <w:rsid w:val="00E0593C"/>
    <w:rsid w:val="00E35741"/>
    <w:rsid w:val="00E4386D"/>
    <w:rsid w:val="00E5135F"/>
    <w:rsid w:val="00E64F85"/>
    <w:rsid w:val="00EB3E52"/>
    <w:rsid w:val="00EB7058"/>
    <w:rsid w:val="00EC3AAE"/>
    <w:rsid w:val="00ED6FD3"/>
    <w:rsid w:val="00EF5F68"/>
    <w:rsid w:val="00F259EF"/>
    <w:rsid w:val="00F4542F"/>
    <w:rsid w:val="00F5121D"/>
    <w:rsid w:val="00F777C2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Letrapequea">
    <w:name w:val="Letra pequeña"/>
    <w:basedOn w:val="Normal"/>
    <w:qFormat/>
    <w:rsid w:val="00EB3E52"/>
    <w:pPr>
      <w:spacing w:line="240" w:lineRule="auto"/>
      <w:jc w:val="right"/>
    </w:pPr>
    <w:rPr>
      <w:rFonts w:ascii="Century Gothic" w:hAnsi="Century Gothic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Letrapequea">
    <w:name w:val="Letra pequeña"/>
    <w:basedOn w:val="Normal"/>
    <w:qFormat/>
    <w:rsid w:val="00EB3E52"/>
    <w:pPr>
      <w:spacing w:line="240" w:lineRule="auto"/>
      <w:jc w:val="right"/>
    </w:pPr>
    <w:rPr>
      <w:rFonts w:ascii="Century Gothic" w:hAnsi="Century Gothic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jodetransparencia.es/ct_Home/Actividad/documentacio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948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MERCEDES PAJA FANO</cp:lastModifiedBy>
  <cp:revision>17</cp:revision>
  <cp:lastPrinted>2020-07-28T14:33:00Z</cp:lastPrinted>
  <dcterms:created xsi:type="dcterms:W3CDTF">2020-07-23T12:00:00Z</dcterms:created>
  <dcterms:modified xsi:type="dcterms:W3CDTF">2020-07-29T08:23:00Z</dcterms:modified>
</cp:coreProperties>
</file>