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F0704">
        <w:t xml:space="preserve">EL </w:t>
      </w:r>
      <w:r w:rsidR="00D95A69">
        <w:t>COLEGIO DE INGENIEROS TÉCNICOS DE OBRAS PÚBLICAS</w:t>
      </w:r>
      <w:r w:rsidR="00CF0704">
        <w:t xml:space="preserve">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CF0704" w:rsidRPr="006F17B5" w:rsidRDefault="006F17B5" w:rsidP="00CF0704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F0704">
        <w:rPr>
          <w:rFonts w:asciiTheme="minorHAnsi" w:hAnsiTheme="minorHAnsi" w:cstheme="minorHAnsi"/>
          <w:szCs w:val="24"/>
        </w:rPr>
        <w:t xml:space="preserve">el </w:t>
      </w:r>
      <w:r w:rsidR="00F2698C">
        <w:rPr>
          <w:rFonts w:asciiTheme="minorHAnsi" w:hAnsiTheme="minorHAnsi" w:cstheme="minorHAnsi"/>
          <w:szCs w:val="24"/>
        </w:rPr>
        <w:t xml:space="preserve">Colegio de Ingenieros Técnicos de Obras Públicas </w:t>
      </w:r>
      <w:r w:rsidR="00C82AB2">
        <w:rPr>
          <w:rFonts w:asciiTheme="minorHAnsi" w:hAnsiTheme="minorHAnsi" w:cstheme="minorHAnsi"/>
          <w:szCs w:val="24"/>
        </w:rPr>
        <w:t>(</w:t>
      </w:r>
      <w:r w:rsidR="00F2698C">
        <w:rPr>
          <w:rFonts w:asciiTheme="minorHAnsi" w:hAnsiTheme="minorHAnsi" w:cstheme="minorHAnsi"/>
          <w:szCs w:val="24"/>
        </w:rPr>
        <w:t>CITOP</w:t>
      </w:r>
      <w:r w:rsidR="00C82AB2">
        <w:rPr>
          <w:rFonts w:asciiTheme="minorHAnsi" w:hAnsiTheme="minorHAnsi" w:cstheme="minorHAnsi"/>
          <w:szCs w:val="24"/>
        </w:rPr>
        <w:t>)</w:t>
      </w:r>
      <w:r w:rsidRPr="006F17B5">
        <w:rPr>
          <w:rFonts w:asciiTheme="minorHAnsi" w:hAnsiTheme="minorHAnsi" w:cstheme="minorHAnsi"/>
          <w:szCs w:val="24"/>
        </w:rPr>
        <w:t xml:space="preserve"> al borrador de informe de evaluación en relación con la revisión del cumplimiento de las obligaciones de publicidad activa por parte de la </w:t>
      </w:r>
      <w:r w:rsidR="009D6677">
        <w:rPr>
          <w:rFonts w:asciiTheme="minorHAnsi" w:hAnsiTheme="minorHAnsi" w:cstheme="minorHAnsi"/>
          <w:szCs w:val="24"/>
        </w:rPr>
        <w:t>entidad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  <w:r w:rsidR="00CF0704" w:rsidRPr="00CF0704">
        <w:rPr>
          <w:rFonts w:asciiTheme="minorHAnsi" w:hAnsiTheme="minorHAnsi" w:cstheme="minorHAnsi"/>
          <w:szCs w:val="24"/>
        </w:rPr>
        <w:t xml:space="preserve"> </w:t>
      </w:r>
    </w:p>
    <w:p w:rsidR="00F2698C" w:rsidRDefault="00F2698C" w:rsidP="00C87BC3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Este Consejo valora muy positivamente la decisión del CITOP de reubicar el enlace a su Portal de Transparencia en un lugar más visible de su página home.</w:t>
      </w:r>
    </w:p>
    <w:p w:rsidR="00F2698C" w:rsidRPr="00F2698C" w:rsidRDefault="00F2698C" w:rsidP="00F2698C">
      <w:pPr>
        <w:pStyle w:val="Prrafodelista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01613" w:rsidRPr="003C3857" w:rsidRDefault="00C305B6" w:rsidP="00C87BC3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01613">
        <w:rPr>
          <w:rFonts w:asciiTheme="minorHAnsi" w:hAnsiTheme="minorHAnsi" w:cstheme="minorHAnsi"/>
          <w:szCs w:val="24"/>
        </w:rPr>
        <w:t>Se acepta</w:t>
      </w:r>
      <w:r w:rsidR="003C3857">
        <w:rPr>
          <w:rFonts w:asciiTheme="minorHAnsi" w:hAnsiTheme="minorHAnsi" w:cstheme="minorHAnsi"/>
          <w:szCs w:val="24"/>
        </w:rPr>
        <w:t xml:space="preserve"> la aplicación de parte de las recomendaciones efectuadas </w:t>
      </w:r>
      <w:r w:rsidR="003F0972" w:rsidRPr="00C01613">
        <w:rPr>
          <w:rFonts w:asciiTheme="minorHAnsi" w:hAnsiTheme="minorHAnsi" w:cstheme="minorHAnsi"/>
          <w:szCs w:val="24"/>
        </w:rPr>
        <w:t xml:space="preserve"> dado que </w:t>
      </w:r>
      <w:r w:rsidR="003C3857">
        <w:rPr>
          <w:rFonts w:asciiTheme="minorHAnsi" w:hAnsiTheme="minorHAnsi" w:cstheme="minorHAnsi"/>
          <w:szCs w:val="24"/>
        </w:rPr>
        <w:t>dicha aplicación</w:t>
      </w:r>
      <w:r w:rsidR="003F0972" w:rsidRPr="00C01613">
        <w:rPr>
          <w:rFonts w:asciiTheme="minorHAnsi" w:hAnsiTheme="minorHAnsi" w:cstheme="minorHAnsi"/>
          <w:szCs w:val="24"/>
        </w:rPr>
        <w:t xml:space="preserve"> se ha realizado durante el periodo de evaluación</w:t>
      </w:r>
      <w:r w:rsidR="00F5121D" w:rsidRPr="00C01613">
        <w:rPr>
          <w:rFonts w:asciiTheme="minorHAnsi" w:hAnsiTheme="minorHAnsi" w:cstheme="minorHAnsi"/>
          <w:szCs w:val="24"/>
        </w:rPr>
        <w:t xml:space="preserve">. </w:t>
      </w:r>
    </w:p>
    <w:p w:rsidR="003C3857" w:rsidRPr="003C3857" w:rsidRDefault="003C3857" w:rsidP="003C3857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C3857" w:rsidRDefault="003C3857" w:rsidP="00C87BC3">
      <w:pPr>
        <w:pStyle w:val="Prrafodelista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Este Consejo quiere efectuar una aclaración al contenido de las obligaciones Organigrama y Registro de Actividades de Tratamiento</w:t>
      </w:r>
      <w:r w:rsidR="00B57241">
        <w:rPr>
          <w:rFonts w:asciiTheme="minorHAnsi" w:hAnsiTheme="minorHAnsi" w:cstheme="minorHAnsi"/>
          <w:sz w:val="24"/>
          <w:szCs w:val="24"/>
        </w:rPr>
        <w:t>, que siguen considerándose incumplidas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C3857" w:rsidRPr="003C3857" w:rsidRDefault="003C3857" w:rsidP="003C3857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3C3857" w:rsidRDefault="003C3857" w:rsidP="003C3857">
      <w:pPr>
        <w:pStyle w:val="Prrafode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publicación del organigrama constituye una obligación diferente de </w:t>
      </w:r>
      <w:r w:rsidR="00B57241">
        <w:rPr>
          <w:rFonts w:asciiTheme="minorHAnsi" w:hAnsiTheme="minorHAnsi" w:cstheme="minorHAnsi"/>
          <w:sz w:val="24"/>
          <w:szCs w:val="24"/>
        </w:rPr>
        <w:t>la descripción</w:t>
      </w:r>
      <w:r>
        <w:rPr>
          <w:rFonts w:asciiTheme="minorHAnsi" w:hAnsiTheme="minorHAnsi" w:cstheme="minorHAnsi"/>
          <w:sz w:val="24"/>
          <w:szCs w:val="24"/>
        </w:rPr>
        <w:t xml:space="preserve"> de la estructura organizativa. El cumplimiento de esta obligación implica la publicación de la </w:t>
      </w:r>
      <w:r w:rsidRPr="003C3857">
        <w:rPr>
          <w:rFonts w:asciiTheme="minorHAnsi" w:hAnsiTheme="minorHAnsi" w:cstheme="minorHAnsi"/>
          <w:b/>
          <w:sz w:val="24"/>
          <w:szCs w:val="24"/>
        </w:rPr>
        <w:t>representación gráfica</w:t>
      </w:r>
      <w:r>
        <w:rPr>
          <w:rFonts w:asciiTheme="minorHAnsi" w:hAnsiTheme="minorHAnsi" w:cstheme="minorHAnsi"/>
          <w:sz w:val="24"/>
          <w:szCs w:val="24"/>
        </w:rPr>
        <w:t xml:space="preserve"> de esta estructura organizativa y de las relaciones que existen entre los diversos niveles de esta estructura.</w:t>
      </w:r>
    </w:p>
    <w:p w:rsidR="003C3857" w:rsidRDefault="003C3857" w:rsidP="003C3857">
      <w:pPr>
        <w:pStyle w:val="Prrafode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3857" w:rsidRDefault="003C3857" w:rsidP="003C3857">
      <w:pPr>
        <w:pStyle w:val="Prrafode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título de ejemplo se aporta la siguiente ilustración.</w:t>
      </w:r>
    </w:p>
    <w:p w:rsidR="003C3857" w:rsidRPr="00C01613" w:rsidRDefault="003C3857" w:rsidP="003C3857">
      <w:pPr>
        <w:pStyle w:val="Prrafode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s-ES"/>
        </w:rPr>
        <w:drawing>
          <wp:inline distT="0" distB="0" distL="0" distR="0">
            <wp:extent cx="4629150" cy="2607099"/>
            <wp:effectExtent l="0" t="0" r="0" b="3175"/>
            <wp:docPr id="6" name="Imagen 6" descr="C:\Users\anam.ruiz\AppData\Local\Microsoft\Windows\INetCache\IE\IXX38G7C\ORGANIGRAMA_ACTUALIZADO_2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m.ruiz\AppData\Local\Microsoft\Windows\INetCache\IE\IXX38G7C\ORGANIGRAMA_ACTUALIZADO_2-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66" cy="261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13" w:rsidRDefault="00C01613" w:rsidP="00C01613">
      <w:pPr>
        <w:pStyle w:val="Prrafodelista"/>
        <w:ind w:left="1080"/>
        <w:jc w:val="both"/>
        <w:rPr>
          <w:rFonts w:asciiTheme="minorHAnsi" w:hAnsiTheme="minorHAnsi" w:cstheme="minorHAnsi"/>
          <w:szCs w:val="24"/>
        </w:rPr>
      </w:pPr>
    </w:p>
    <w:p w:rsidR="003C3857" w:rsidRDefault="003C3857" w:rsidP="00CF07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C3857" w:rsidRDefault="003C3857" w:rsidP="003C3857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En cuanto al Registro de Actividades de Tratamiento, </w:t>
      </w:r>
      <w:r w:rsidR="00B57241">
        <w:rPr>
          <w:rFonts w:asciiTheme="minorHAnsi" w:hAnsiTheme="minorHAnsi" w:cstheme="minorHAnsi"/>
          <w:sz w:val="24"/>
          <w:szCs w:val="24"/>
        </w:rPr>
        <w:t xml:space="preserve">esta obligación </w:t>
      </w:r>
      <w:r>
        <w:rPr>
          <w:rFonts w:asciiTheme="minorHAnsi" w:hAnsiTheme="minorHAnsi" w:cstheme="minorHAnsi"/>
          <w:sz w:val="24"/>
          <w:szCs w:val="24"/>
        </w:rPr>
        <w:t xml:space="preserve">solo se considera cumplida cuando </w:t>
      </w:r>
      <w:r w:rsidRPr="003C3857">
        <w:rPr>
          <w:rFonts w:asciiTheme="minorHAnsi" w:hAnsiTheme="minorHAnsi" w:cstheme="minorHAnsi"/>
          <w:b/>
          <w:sz w:val="24"/>
          <w:szCs w:val="24"/>
        </w:rPr>
        <w:t>para cada actividad de tratamiento</w:t>
      </w:r>
      <w:r>
        <w:rPr>
          <w:rFonts w:asciiTheme="minorHAnsi" w:hAnsiTheme="minorHAnsi" w:cstheme="minorHAnsi"/>
          <w:sz w:val="24"/>
          <w:szCs w:val="24"/>
        </w:rPr>
        <w:t xml:space="preserve"> se publican todos los contenidos que </w:t>
      </w:r>
      <w:r w:rsidR="002A0485">
        <w:rPr>
          <w:rFonts w:asciiTheme="minorHAnsi" w:hAnsiTheme="minorHAnsi" w:cstheme="minorHAnsi"/>
          <w:sz w:val="24"/>
          <w:szCs w:val="24"/>
        </w:rPr>
        <w:t>específica</w:t>
      </w:r>
      <w:r>
        <w:rPr>
          <w:rFonts w:asciiTheme="minorHAnsi" w:hAnsiTheme="minorHAnsi" w:cstheme="minorHAnsi"/>
          <w:sz w:val="24"/>
          <w:szCs w:val="24"/>
        </w:rPr>
        <w:t xml:space="preserve"> Reglamento Europeo de Protección de Datos</w:t>
      </w:r>
      <w:r w:rsidR="00B57241">
        <w:rPr>
          <w:rFonts w:asciiTheme="minorHAnsi" w:hAnsiTheme="minorHAnsi" w:cstheme="minorHAnsi"/>
          <w:sz w:val="24"/>
          <w:szCs w:val="24"/>
        </w:rPr>
        <w:t xml:space="preserve"> en su artículo 30.1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3C3857" w:rsidRDefault="003C3857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B57241" w:rsidRP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 xml:space="preserve">1. Cada responsable y, en su caso, su representante llevarán un registro de las actividades de tratamiento efectuadas bajo su responsabilidad. Dicho registro deberá contener toda la información indicada a continuación: </w:t>
      </w:r>
    </w:p>
    <w:p w:rsidR="00B57241" w:rsidRP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 xml:space="preserve">a) el nombre y los datos de contacto del responsable y, en su caso, del corresponsable, del representante del responsable, y del delegado de protección de datos; </w:t>
      </w:r>
    </w:p>
    <w:p w:rsidR="00B57241" w:rsidRP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 xml:space="preserve">b) los fines del tratamiento; </w:t>
      </w:r>
    </w:p>
    <w:p w:rsidR="00B57241" w:rsidRP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>c) una descripción de las categorías de interesados y de las categorías de datos personales;</w:t>
      </w:r>
    </w:p>
    <w:p w:rsidR="00B57241" w:rsidRP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 xml:space="preserve">d) las categorías de destinatarios a quienes se comunicaron o comunicarán los datos personales, incluidos los destinatarios en terceros países u organizaciones internacionales; </w:t>
      </w:r>
    </w:p>
    <w:p w:rsidR="00B57241" w:rsidRP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 xml:space="preserve">e) en su caso, las transferencias de datos personales a un tercer país o una organización internacional, incluida la identificación de dicho tercer país u organización internacional y, en el caso de las transferencias indicadas en el artículo 49, apartado 1, párrafo segundo, la documentación de garantías adecuadas; </w:t>
      </w:r>
    </w:p>
    <w:p w:rsidR="00B57241" w:rsidRP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 xml:space="preserve">f) cuando sea posible, los plazos previstos para la supresión de las diferentes categorías de datos; </w:t>
      </w:r>
    </w:p>
    <w:p w:rsid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57241">
        <w:rPr>
          <w:rFonts w:asciiTheme="minorHAnsi" w:hAnsiTheme="minorHAnsi" w:cstheme="minorHAnsi"/>
          <w:i/>
          <w:sz w:val="24"/>
          <w:szCs w:val="24"/>
        </w:rPr>
        <w:t>g) cuando sea posible, una descripción general de las medidas técnicas y organizativas de seguridad a que se refiere el artículo 32, apartado 1.</w:t>
      </w:r>
    </w:p>
    <w:p w:rsid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B57241" w:rsidRDefault="00B57241" w:rsidP="00B5724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F17B5" w:rsidRDefault="006F17B5" w:rsidP="00CF07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>Tras la revisión efectuada por parte de este Consejo, el Indicador de Cumplimiento de la Información Obligatoria correspondiente a</w:t>
      </w:r>
      <w:r w:rsidR="00CF0704">
        <w:rPr>
          <w:rFonts w:asciiTheme="minorHAnsi" w:hAnsiTheme="minorHAnsi" w:cstheme="minorHAnsi"/>
          <w:sz w:val="24"/>
          <w:szCs w:val="24"/>
        </w:rPr>
        <w:t>l</w:t>
      </w:r>
      <w:r w:rsidRPr="006F17B5">
        <w:rPr>
          <w:rFonts w:asciiTheme="minorHAnsi" w:hAnsiTheme="minorHAnsi" w:cstheme="minorHAnsi"/>
          <w:sz w:val="24"/>
          <w:szCs w:val="24"/>
        </w:rPr>
        <w:t xml:space="preserve"> </w:t>
      </w:r>
      <w:r w:rsidR="00B57241">
        <w:rPr>
          <w:rFonts w:asciiTheme="minorHAnsi" w:hAnsiTheme="minorHAnsi" w:cstheme="minorHAnsi"/>
          <w:sz w:val="24"/>
          <w:szCs w:val="24"/>
        </w:rPr>
        <w:t>Colegio  Ingenieros Técnicos de Obras Públicas</w:t>
      </w:r>
      <w:r w:rsidRPr="006F17B5">
        <w:rPr>
          <w:rFonts w:asciiTheme="minorHAnsi" w:hAnsiTheme="minorHAnsi" w:cstheme="minorHAnsi"/>
          <w:sz w:val="24"/>
          <w:szCs w:val="24"/>
        </w:rPr>
        <w:t xml:space="preserve">, se sitúa en el </w:t>
      </w:r>
      <w:r w:rsidR="002A0485">
        <w:rPr>
          <w:rFonts w:asciiTheme="minorHAnsi" w:hAnsiTheme="minorHAnsi" w:cstheme="minorHAnsi"/>
          <w:sz w:val="24"/>
          <w:szCs w:val="24"/>
        </w:rPr>
        <w:t>68,</w:t>
      </w:r>
      <w:r w:rsidR="00D850F3">
        <w:rPr>
          <w:rFonts w:asciiTheme="minorHAnsi" w:hAnsiTheme="minorHAnsi" w:cstheme="minorHAnsi"/>
          <w:sz w:val="24"/>
          <w:szCs w:val="24"/>
        </w:rPr>
        <w:t xml:space="preserve">03 </w:t>
      </w:r>
      <w:r w:rsidR="00CF0704">
        <w:rPr>
          <w:rFonts w:asciiTheme="minorHAnsi" w:hAnsiTheme="minorHAnsi" w:cstheme="minorHAnsi"/>
          <w:sz w:val="24"/>
          <w:szCs w:val="24"/>
        </w:rPr>
        <w:t>%</w:t>
      </w:r>
      <w:r w:rsidRPr="006F17B5">
        <w:rPr>
          <w:rFonts w:asciiTheme="minorHAnsi" w:hAnsiTheme="minorHAnsi" w:cstheme="minorHAnsi"/>
          <w:sz w:val="24"/>
          <w:szCs w:val="24"/>
        </w:rPr>
        <w:t>.</w:t>
      </w:r>
    </w:p>
    <w:p w:rsidR="003656B1" w:rsidRPr="003656B1" w:rsidRDefault="003656B1" w:rsidP="00CF0704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3656B1" w:rsidRDefault="003656B1" w:rsidP="00CF07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 Consejo valora muy positivamente el esfuerzo realizado por </w:t>
      </w:r>
      <w:r w:rsidR="00CF0704">
        <w:rPr>
          <w:rFonts w:asciiTheme="minorHAnsi" w:hAnsiTheme="minorHAnsi" w:cstheme="minorHAnsi"/>
          <w:sz w:val="24"/>
          <w:szCs w:val="24"/>
        </w:rPr>
        <w:t xml:space="preserve">el </w:t>
      </w:r>
      <w:r w:rsidR="00F2698C">
        <w:rPr>
          <w:rFonts w:asciiTheme="minorHAnsi" w:hAnsiTheme="minorHAnsi" w:cstheme="minorHAnsi"/>
          <w:sz w:val="24"/>
          <w:szCs w:val="24"/>
        </w:rPr>
        <w:t>Colegio de Ingenieros Técnicos de Obras Públicas</w:t>
      </w:r>
      <w:r w:rsidR="00B5724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en la implantación </w:t>
      </w:r>
      <w:r w:rsidR="00036A5D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 xml:space="preserve">las recomendaciones efectuadas y en la mejora consecuente en el cumplimiento de las obligaciones de publicidad activa. </w:t>
      </w:r>
    </w:p>
    <w:p w:rsidR="009E30AA" w:rsidRPr="006F17B5" w:rsidRDefault="009E30AA" w:rsidP="00CF0704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Default="006F17B5" w:rsidP="009557B1">
      <w:pPr>
        <w:autoSpaceDE w:val="0"/>
        <w:autoSpaceDN w:val="0"/>
        <w:adjustRightInd w:val="0"/>
        <w:spacing w:after="0"/>
        <w:jc w:val="right"/>
      </w:pPr>
      <w:r w:rsidRPr="006F17B5">
        <w:rPr>
          <w:rFonts w:asciiTheme="minorHAnsi" w:hAnsiTheme="minorHAnsi" w:cstheme="minorHAnsi"/>
          <w:szCs w:val="24"/>
        </w:rPr>
        <w:t xml:space="preserve">Madrid, </w:t>
      </w:r>
      <w:r w:rsidR="00843927">
        <w:rPr>
          <w:rFonts w:asciiTheme="minorHAnsi" w:hAnsiTheme="minorHAnsi" w:cstheme="minorHAnsi"/>
          <w:szCs w:val="24"/>
        </w:rPr>
        <w:t>agosto</w:t>
      </w:r>
      <w:r w:rsidRPr="006F17B5">
        <w:rPr>
          <w:rFonts w:asciiTheme="minorHAnsi" w:hAnsiTheme="minorHAnsi" w:cstheme="minorHAnsi"/>
          <w:szCs w:val="24"/>
        </w:rPr>
        <w:t xml:space="preserve"> de 2020</w:t>
      </w:r>
    </w:p>
    <w:sectPr w:rsidR="006F17B5" w:rsidSect="00C23F3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8C" w:rsidRDefault="00F2698C" w:rsidP="00344FE7">
      <w:pPr>
        <w:spacing w:after="0" w:line="240" w:lineRule="auto"/>
      </w:pPr>
      <w:r>
        <w:separator/>
      </w:r>
    </w:p>
  </w:endnote>
  <w:endnote w:type="continuationSeparator" w:id="0">
    <w:p w:rsidR="00F2698C" w:rsidRDefault="00F2698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698C" w:rsidRPr="00C23F36" w:rsidRDefault="00F2698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D850F3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8C" w:rsidRDefault="00F2698C" w:rsidP="00344FE7">
      <w:pPr>
        <w:spacing w:after="0" w:line="240" w:lineRule="auto"/>
      </w:pPr>
      <w:r>
        <w:separator/>
      </w:r>
    </w:p>
  </w:footnote>
  <w:footnote w:type="continuationSeparator" w:id="0">
    <w:p w:rsidR="00F2698C" w:rsidRDefault="00F2698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8C" w:rsidRDefault="00F2698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698C" w:rsidRDefault="00F2698C">
    <w:pPr>
      <w:pStyle w:val="Encabezado"/>
    </w:pPr>
  </w:p>
  <w:p w:rsidR="00F2698C" w:rsidRDefault="00F2698C" w:rsidP="00344FE7">
    <w:pPr>
      <w:pStyle w:val="Encabezado"/>
    </w:pPr>
  </w:p>
  <w:p w:rsidR="00F2698C" w:rsidRDefault="00F2698C" w:rsidP="00344FE7">
    <w:pPr>
      <w:pStyle w:val="Encabezado"/>
    </w:pPr>
  </w:p>
  <w:p w:rsidR="00F2698C" w:rsidRDefault="00F2698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8C" w:rsidRDefault="00F2698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1257F9"/>
    <w:rsid w:val="0014196C"/>
    <w:rsid w:val="001750A8"/>
    <w:rsid w:val="00175D6C"/>
    <w:rsid w:val="0018324C"/>
    <w:rsid w:val="001B16D9"/>
    <w:rsid w:val="001E44BC"/>
    <w:rsid w:val="00251194"/>
    <w:rsid w:val="002A0485"/>
    <w:rsid w:val="002A4771"/>
    <w:rsid w:val="002F5D0B"/>
    <w:rsid w:val="003259B9"/>
    <w:rsid w:val="00344FE7"/>
    <w:rsid w:val="00351475"/>
    <w:rsid w:val="003656B1"/>
    <w:rsid w:val="003B5DE7"/>
    <w:rsid w:val="003C3857"/>
    <w:rsid w:val="003F0972"/>
    <w:rsid w:val="003F38BD"/>
    <w:rsid w:val="004B15B8"/>
    <w:rsid w:val="00614890"/>
    <w:rsid w:val="006F17B5"/>
    <w:rsid w:val="006F5890"/>
    <w:rsid w:val="0071472F"/>
    <w:rsid w:val="007342F2"/>
    <w:rsid w:val="007A662D"/>
    <w:rsid w:val="007C00E5"/>
    <w:rsid w:val="007C0642"/>
    <w:rsid w:val="007D24E2"/>
    <w:rsid w:val="00815DA2"/>
    <w:rsid w:val="00843927"/>
    <w:rsid w:val="0089717A"/>
    <w:rsid w:val="008B79BD"/>
    <w:rsid w:val="00901F1F"/>
    <w:rsid w:val="009029E0"/>
    <w:rsid w:val="009557B1"/>
    <w:rsid w:val="009B7ADA"/>
    <w:rsid w:val="009D2560"/>
    <w:rsid w:val="009D6677"/>
    <w:rsid w:val="009E30AA"/>
    <w:rsid w:val="00AE5BF4"/>
    <w:rsid w:val="00B2797F"/>
    <w:rsid w:val="00B31F84"/>
    <w:rsid w:val="00B35A53"/>
    <w:rsid w:val="00B57241"/>
    <w:rsid w:val="00BC7A82"/>
    <w:rsid w:val="00C01613"/>
    <w:rsid w:val="00C23F36"/>
    <w:rsid w:val="00C305B6"/>
    <w:rsid w:val="00C3135F"/>
    <w:rsid w:val="00C736B9"/>
    <w:rsid w:val="00C82AB2"/>
    <w:rsid w:val="00C87BC3"/>
    <w:rsid w:val="00CF0704"/>
    <w:rsid w:val="00D445A4"/>
    <w:rsid w:val="00D850F3"/>
    <w:rsid w:val="00D95A69"/>
    <w:rsid w:val="00DB21EC"/>
    <w:rsid w:val="00DB2CB4"/>
    <w:rsid w:val="00DB2CCC"/>
    <w:rsid w:val="00DD07B5"/>
    <w:rsid w:val="00E03C82"/>
    <w:rsid w:val="00E32537"/>
    <w:rsid w:val="00E35741"/>
    <w:rsid w:val="00E4386D"/>
    <w:rsid w:val="00E5135F"/>
    <w:rsid w:val="00E64F85"/>
    <w:rsid w:val="00EB7058"/>
    <w:rsid w:val="00EC3AAE"/>
    <w:rsid w:val="00ED6FD3"/>
    <w:rsid w:val="00EF5F68"/>
    <w:rsid w:val="00F2698C"/>
    <w:rsid w:val="00F5121D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MERCEDES PAJA FANO</cp:lastModifiedBy>
  <cp:revision>8</cp:revision>
  <cp:lastPrinted>2015-01-27T17:42:00Z</cp:lastPrinted>
  <dcterms:created xsi:type="dcterms:W3CDTF">2020-07-24T07:57:00Z</dcterms:created>
  <dcterms:modified xsi:type="dcterms:W3CDTF">2020-07-27T11:09:00Z</dcterms:modified>
</cp:coreProperties>
</file>