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>
      <w:pPr>
        <w:rPr>
          <w:rFonts w:asciiTheme="minorHAnsi" w:hAnsiTheme="minorHAnsi" w:cstheme="minorHAnsi"/>
          <w:szCs w:val="24"/>
        </w:rPr>
      </w:pPr>
    </w:p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3B3FA9">
        <w:t xml:space="preserve">LA </w:t>
      </w:r>
      <w:r w:rsidR="0026047E">
        <w:t>ANECA</w:t>
      </w:r>
      <w:r w:rsidR="00846DCC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al borrador de informe de evaluación en relación con la revisión del cumplimiento de las obligaciones de publicidad activa por parte </w:t>
      </w:r>
      <w:r w:rsidR="00846DCC">
        <w:rPr>
          <w:rFonts w:asciiTheme="minorHAnsi" w:hAnsiTheme="minorHAnsi" w:cstheme="minorHAnsi"/>
          <w:szCs w:val="24"/>
        </w:rPr>
        <w:t>d</w:t>
      </w:r>
      <w:r w:rsidR="00E52B52">
        <w:rPr>
          <w:rFonts w:asciiTheme="minorHAnsi" w:hAnsiTheme="minorHAnsi" w:cstheme="minorHAnsi"/>
          <w:szCs w:val="24"/>
        </w:rPr>
        <w:t>e l</w:t>
      </w:r>
      <w:r w:rsidR="003B3FA9">
        <w:rPr>
          <w:rFonts w:asciiTheme="minorHAnsi" w:hAnsiTheme="minorHAnsi" w:cstheme="minorHAnsi"/>
          <w:szCs w:val="24"/>
        </w:rPr>
        <w:t xml:space="preserve">a </w:t>
      </w:r>
      <w:r w:rsidR="0026047E">
        <w:rPr>
          <w:rFonts w:asciiTheme="minorHAnsi" w:hAnsiTheme="minorHAnsi" w:cstheme="minorHAnsi"/>
          <w:szCs w:val="24"/>
        </w:rPr>
        <w:t>ANECA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F96DEE" w:rsidRDefault="004D0014" w:rsidP="001D37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1D374D">
        <w:rPr>
          <w:rFonts w:asciiTheme="minorHAnsi" w:hAnsiTheme="minorHAnsi" w:cstheme="minorHAnsi"/>
          <w:szCs w:val="24"/>
        </w:rPr>
        <w:t xml:space="preserve">Este Consejo valora muy positivamente </w:t>
      </w:r>
      <w:r w:rsidR="001D374D" w:rsidRPr="001D374D">
        <w:rPr>
          <w:rFonts w:asciiTheme="minorHAnsi" w:hAnsiTheme="minorHAnsi" w:cstheme="minorHAnsi"/>
          <w:szCs w:val="24"/>
        </w:rPr>
        <w:t>la disposición de</w:t>
      </w:r>
      <w:r w:rsidRPr="001D374D">
        <w:rPr>
          <w:rFonts w:asciiTheme="minorHAnsi" w:hAnsiTheme="minorHAnsi" w:cstheme="minorHAnsi"/>
          <w:szCs w:val="24"/>
        </w:rPr>
        <w:t xml:space="preserve"> la </w:t>
      </w:r>
      <w:r w:rsidR="0026047E" w:rsidRPr="001D374D">
        <w:rPr>
          <w:rFonts w:asciiTheme="minorHAnsi" w:hAnsiTheme="minorHAnsi" w:cstheme="minorHAnsi"/>
          <w:szCs w:val="24"/>
        </w:rPr>
        <w:t>ANECA</w:t>
      </w:r>
      <w:r w:rsidRPr="001D374D">
        <w:rPr>
          <w:rFonts w:asciiTheme="minorHAnsi" w:hAnsiTheme="minorHAnsi" w:cstheme="minorHAnsi"/>
          <w:szCs w:val="24"/>
        </w:rPr>
        <w:t xml:space="preserve"> </w:t>
      </w:r>
      <w:r w:rsidR="001D374D" w:rsidRPr="001D374D">
        <w:rPr>
          <w:rFonts w:asciiTheme="minorHAnsi" w:hAnsiTheme="minorHAnsi" w:cstheme="minorHAnsi"/>
          <w:szCs w:val="24"/>
        </w:rPr>
        <w:t>a seguir mejorando los contenidos y el cumplimiento de los requisitos de calidad de la información sujeta a obligaciones de publicidad activa</w:t>
      </w:r>
      <w:r w:rsidR="008B2E62" w:rsidRPr="001D374D">
        <w:rPr>
          <w:rFonts w:asciiTheme="minorHAnsi" w:hAnsiTheme="minorHAnsi" w:cstheme="minorHAnsi"/>
          <w:szCs w:val="24"/>
        </w:rPr>
        <w:t xml:space="preserve">. </w:t>
      </w:r>
      <w:r w:rsidR="001D374D" w:rsidRPr="001D374D">
        <w:rPr>
          <w:rFonts w:asciiTheme="minorHAnsi" w:hAnsiTheme="minorHAnsi" w:cstheme="minorHAnsi"/>
          <w:szCs w:val="24"/>
        </w:rPr>
        <w:t xml:space="preserve">Tampoco </w:t>
      </w:r>
      <w:r w:rsidR="001D374D">
        <w:rPr>
          <w:rFonts w:asciiTheme="minorHAnsi" w:hAnsiTheme="minorHAnsi" w:cstheme="minorHAnsi"/>
          <w:szCs w:val="24"/>
        </w:rPr>
        <w:t xml:space="preserve">cuestiona este CTBG la convicción de la ANECA de que la publicación de la información relativa a contratos a través del perfil del contratante contribuye a transparentar en mayor medida esta información o que la publicación de otra información en el Portal de Transparencia de la AGE facilita la accesibilidad de los ciudadanos a la misma. </w:t>
      </w:r>
    </w:p>
    <w:p w:rsidR="001D374D" w:rsidRDefault="001D374D" w:rsidP="001D37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</w:p>
    <w:p w:rsidR="001D374D" w:rsidRDefault="001D374D" w:rsidP="001D37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Sin embargo este Consejo ha mantenido y mantiene el criterio de que el efecto, especialmente desde el punto de vista de la accesibilidad</w:t>
      </w:r>
      <w:r w:rsidR="00BE1CAD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es el contrario.</w:t>
      </w:r>
    </w:p>
    <w:p w:rsidR="001D374D" w:rsidRDefault="001D374D" w:rsidP="001D37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</w:p>
    <w:p w:rsidR="001D374D" w:rsidRDefault="001D374D" w:rsidP="001D374D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primer lugar, porque la fuentes de datos centralizadas (Perfiles del contratante, Base de </w:t>
      </w:r>
      <w:r w:rsidR="00BE1CAD">
        <w:rPr>
          <w:rFonts w:asciiTheme="minorHAnsi" w:hAnsiTheme="minorHAnsi" w:cstheme="minorHAnsi"/>
          <w:szCs w:val="24"/>
        </w:rPr>
        <w:t>Datos</w:t>
      </w:r>
      <w:r>
        <w:rPr>
          <w:rFonts w:asciiTheme="minorHAnsi" w:hAnsiTheme="minorHAnsi" w:cstheme="minorHAnsi"/>
          <w:szCs w:val="24"/>
        </w:rPr>
        <w:t xml:space="preserve"> Nacional de Subvenciones) </w:t>
      </w:r>
      <w:r w:rsidRPr="00F96DEE">
        <w:rPr>
          <w:rFonts w:asciiTheme="minorHAnsi" w:hAnsiTheme="minorHAnsi" w:cstheme="minorHAnsi"/>
          <w:szCs w:val="24"/>
        </w:rPr>
        <w:t xml:space="preserve">están diseñadas para otras finalidades distintas del cumplimiento de las obligaciones de transparencia, razón por la que su estructura y el hecho de que incorporen mucha información irrelevante desde el punto de vista de la transparencia, hacen que resulten de difícil manejo para los ciudadanos no expertos en cuestiones administrativas. </w:t>
      </w:r>
      <w:r>
        <w:rPr>
          <w:rFonts w:asciiTheme="minorHAnsi" w:hAnsiTheme="minorHAnsi" w:cstheme="minorHAnsi"/>
          <w:szCs w:val="24"/>
        </w:rPr>
        <w:t>P</w:t>
      </w:r>
      <w:r w:rsidRPr="00F96DEE">
        <w:rPr>
          <w:rFonts w:asciiTheme="minorHAnsi" w:hAnsiTheme="minorHAnsi" w:cstheme="minorHAnsi"/>
          <w:szCs w:val="24"/>
        </w:rPr>
        <w:t>or otra parte</w:t>
      </w:r>
      <w:r w:rsidR="00BE1CAD">
        <w:rPr>
          <w:rFonts w:asciiTheme="minorHAnsi" w:hAnsiTheme="minorHAnsi" w:cstheme="minorHAnsi"/>
          <w:szCs w:val="24"/>
        </w:rPr>
        <w:t>,</w:t>
      </w:r>
      <w:r w:rsidRPr="00F96DEE">
        <w:rPr>
          <w:rFonts w:asciiTheme="minorHAnsi" w:hAnsiTheme="minorHAnsi" w:cstheme="minorHAnsi"/>
          <w:szCs w:val="24"/>
        </w:rPr>
        <w:t xml:space="preserve"> porque pese al gran volumen de datos e información que incorporan, se da la paradoja de que, en algunos casos, los recursos centralizados no recogen la totalidad de las informaciones de publicidad activa exigidas obligatoriamente por la Ley.</w:t>
      </w:r>
    </w:p>
    <w:p w:rsidR="001D374D" w:rsidRDefault="001D374D" w:rsidP="001D374D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</w:p>
    <w:p w:rsidR="001D374D" w:rsidRDefault="001D374D" w:rsidP="001D374D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segundo lugar, la derivación de la publicación de determinadas obligaciones al Portal de Transparencia de la AGE, presenta </w:t>
      </w:r>
      <w:r w:rsidR="00E61FAC">
        <w:rPr>
          <w:rFonts w:asciiTheme="minorHAnsi" w:hAnsiTheme="minorHAnsi" w:cstheme="minorHAnsi"/>
          <w:szCs w:val="24"/>
        </w:rPr>
        <w:t>otras dificultades.</w:t>
      </w:r>
    </w:p>
    <w:p w:rsidR="00E61FAC" w:rsidRDefault="00E61FAC" w:rsidP="001D374D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</w:p>
    <w:p w:rsidR="00E61FAC" w:rsidRDefault="00E61FAC" w:rsidP="001D374D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primera es de carácter conceptual. </w:t>
      </w:r>
      <w:r w:rsidRPr="0004200D">
        <w:rPr>
          <w:rFonts w:asciiTheme="minorHAnsi" w:hAnsiTheme="minorHAnsi" w:cstheme="minorHAnsi"/>
          <w:szCs w:val="24"/>
        </w:rPr>
        <w:t xml:space="preserve">El artículo 55.2 de la Ley de Régimen Jurídico del Sector Público, establece que la Administración General del Estado comprende la organización central (Ministerios y servicios comunes), la organización territorial (Delegaciones y Subdelegaciones del Gobierno) y finalmente, la Administración General del Estado en el exterior. Por tanto, los organismos públicos vinculados y dependientes no forman legalmente parte de la AGE y no deberían publicar en el Portal propio de </w:t>
      </w:r>
      <w:r>
        <w:rPr>
          <w:rFonts w:asciiTheme="minorHAnsi" w:hAnsiTheme="minorHAnsi" w:cstheme="minorHAnsi"/>
          <w:szCs w:val="24"/>
        </w:rPr>
        <w:t>é</w:t>
      </w:r>
      <w:r w:rsidRPr="0004200D">
        <w:rPr>
          <w:rFonts w:asciiTheme="minorHAnsi" w:hAnsiTheme="minorHAnsi" w:cstheme="minorHAnsi"/>
          <w:szCs w:val="24"/>
        </w:rPr>
        <w:t>sta los datos o informac</w:t>
      </w:r>
      <w:r>
        <w:rPr>
          <w:rFonts w:asciiTheme="minorHAnsi" w:hAnsiTheme="minorHAnsi" w:cstheme="minorHAnsi"/>
          <w:szCs w:val="24"/>
        </w:rPr>
        <w:t xml:space="preserve">iones relativos a su actividad. Es decir al conjunto de entidades que forman parte del Sector Público Institucional Estatal, les aplica directamente la obligación establecida en </w:t>
      </w:r>
      <w:r>
        <w:rPr>
          <w:rFonts w:asciiTheme="minorHAnsi" w:hAnsiTheme="minorHAnsi" w:cstheme="minorHAnsi"/>
          <w:szCs w:val="24"/>
        </w:rPr>
        <w:lastRenderedPageBreak/>
        <w:t>artículo 5.4 de la LTAIBG de publicar la información sujeta a obligaciones de publicidad activa en sus webs institucionales o en su sede electrónica.</w:t>
      </w:r>
    </w:p>
    <w:p w:rsidR="00E61FAC" w:rsidRDefault="00E61FAC" w:rsidP="001D374D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</w:p>
    <w:p w:rsidR="00E61FAC" w:rsidRDefault="00E61FAC" w:rsidP="00E61FAC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segunda cuestión es que esta forma de publicación </w:t>
      </w:r>
      <w:r w:rsidR="000F021D">
        <w:rPr>
          <w:rFonts w:asciiTheme="minorHAnsi" w:hAnsiTheme="minorHAnsi" w:cstheme="minorHAnsi"/>
          <w:szCs w:val="24"/>
        </w:rPr>
        <w:t xml:space="preserve">obliga a revisar de manera continua los enlaces a las páginas </w:t>
      </w:r>
      <w:r w:rsidR="00F96DEE">
        <w:rPr>
          <w:rFonts w:asciiTheme="minorHAnsi" w:hAnsiTheme="minorHAnsi" w:cstheme="minorHAnsi"/>
          <w:szCs w:val="24"/>
        </w:rPr>
        <w:t>que contienen</w:t>
      </w:r>
      <w:r w:rsidR="000F021D">
        <w:rPr>
          <w:rFonts w:asciiTheme="minorHAnsi" w:hAnsiTheme="minorHAnsi" w:cstheme="minorHAnsi"/>
          <w:szCs w:val="24"/>
        </w:rPr>
        <w:t xml:space="preserve"> la información </w:t>
      </w:r>
      <w:r w:rsidR="009F37A0">
        <w:rPr>
          <w:rFonts w:asciiTheme="minorHAnsi" w:hAnsiTheme="minorHAnsi" w:cstheme="minorHAnsi"/>
          <w:szCs w:val="24"/>
        </w:rPr>
        <w:t xml:space="preserve">para que no se produzcan errores, como </w:t>
      </w:r>
      <w:r>
        <w:rPr>
          <w:rFonts w:asciiTheme="minorHAnsi" w:hAnsiTheme="minorHAnsi" w:cstheme="minorHAnsi"/>
          <w:szCs w:val="24"/>
        </w:rPr>
        <w:t>ha podido comprobar la ANECA</w:t>
      </w:r>
      <w:r w:rsidR="009F37A0">
        <w:rPr>
          <w:rFonts w:asciiTheme="minorHAnsi" w:hAnsiTheme="minorHAnsi" w:cstheme="minorHAnsi"/>
          <w:szCs w:val="24"/>
        </w:rPr>
        <w:t xml:space="preserve">. </w:t>
      </w:r>
      <w:r w:rsidR="000F021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Además localizar en el Portal de Transparencia de la AGE información implica la realización de nuevas búsquedas, siempre que ello sea posible, y en no pocas ocasiones a revisar un número muy elevado de páginas hasta localizar la información concreta correspondiente a un organismo.</w:t>
      </w:r>
      <w:r w:rsidR="00FC52BA">
        <w:rPr>
          <w:rFonts w:asciiTheme="minorHAnsi" w:hAnsiTheme="minorHAnsi" w:cstheme="minorHAnsi"/>
          <w:szCs w:val="24"/>
        </w:rPr>
        <w:t xml:space="preserve"> </w:t>
      </w:r>
    </w:p>
    <w:p w:rsidR="00E61FAC" w:rsidRDefault="00E61FAC" w:rsidP="00E61FAC">
      <w:pPr>
        <w:pStyle w:val="Prrafodelista"/>
        <w:ind w:left="0"/>
        <w:jc w:val="both"/>
        <w:rPr>
          <w:rFonts w:asciiTheme="minorHAnsi" w:hAnsiTheme="minorHAnsi" w:cstheme="minorHAnsi"/>
          <w:szCs w:val="24"/>
        </w:rPr>
      </w:pPr>
    </w:p>
    <w:p w:rsidR="00BE1CAD" w:rsidRDefault="00BE1CAD" w:rsidP="00BE1CAD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Por todas estas razones, </w:t>
      </w:r>
      <w:r w:rsidRPr="009F37A0">
        <w:rPr>
          <w:rFonts w:asciiTheme="minorHAnsi" w:hAnsiTheme="minorHAnsi" w:cstheme="minorHAnsi"/>
          <w:szCs w:val="24"/>
        </w:rPr>
        <w:t>este Consejo lleva insistiendo en que los organismos públicos y demás entidades sujetas a obligaciones de publicidad activa publiquen esta información de manera resumida en sus Portales de Transparencia, independientemente de que se dé acceso</w:t>
      </w:r>
      <w:r>
        <w:rPr>
          <w:rFonts w:asciiTheme="minorHAnsi" w:hAnsiTheme="minorHAnsi" w:cstheme="minorHAnsi"/>
          <w:szCs w:val="24"/>
        </w:rPr>
        <w:t xml:space="preserve"> a través de </w:t>
      </w:r>
      <w:r>
        <w:rPr>
          <w:rFonts w:asciiTheme="minorHAnsi" w:hAnsiTheme="minorHAnsi" w:cstheme="minorHAnsi"/>
          <w:szCs w:val="24"/>
        </w:rPr>
        <w:t>fuentes de datos centralizadas o del Portal de Transparencia de la AGE.</w:t>
      </w:r>
    </w:p>
    <w:p w:rsidR="00BE1CAD" w:rsidRDefault="00BE1CAD" w:rsidP="006F17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Finalmente este Consejo quiere reiterar la valoración positiva del esfuerzo realizado por </w:t>
      </w:r>
      <w:r w:rsidR="003B3FA9">
        <w:rPr>
          <w:rFonts w:asciiTheme="minorHAnsi" w:hAnsiTheme="minorHAnsi" w:cstheme="minorHAnsi"/>
          <w:szCs w:val="24"/>
        </w:rPr>
        <w:t xml:space="preserve">La </w:t>
      </w:r>
      <w:r w:rsidR="0026047E">
        <w:rPr>
          <w:rFonts w:asciiTheme="minorHAnsi" w:hAnsiTheme="minorHAnsi" w:cstheme="minorHAnsi"/>
          <w:szCs w:val="24"/>
        </w:rPr>
        <w:t>ANECA</w:t>
      </w:r>
      <w:r w:rsidRPr="006F17B5">
        <w:rPr>
          <w:rFonts w:asciiTheme="minorHAnsi" w:hAnsiTheme="minorHAnsi" w:cstheme="minorHAnsi"/>
          <w:szCs w:val="24"/>
        </w:rPr>
        <w:t xml:space="preserve"> en la mejora del cumplimiento de las obligacione</w:t>
      </w:r>
      <w:bookmarkStart w:id="0" w:name="_GoBack"/>
      <w:bookmarkEnd w:id="0"/>
      <w:r w:rsidRPr="006F17B5">
        <w:rPr>
          <w:rFonts w:asciiTheme="minorHAnsi" w:hAnsiTheme="minorHAnsi" w:cstheme="minorHAnsi"/>
          <w:szCs w:val="24"/>
        </w:rPr>
        <w:t xml:space="preserve">s de publicidad activa. </w:t>
      </w: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>Madrid, ju</w:t>
      </w:r>
      <w:r w:rsidR="00D71B91">
        <w:rPr>
          <w:rFonts w:asciiTheme="minorHAnsi" w:hAnsiTheme="minorHAnsi" w:cstheme="minorHAnsi"/>
          <w:szCs w:val="24"/>
        </w:rPr>
        <w:t>l</w:t>
      </w:r>
      <w:r w:rsidRPr="006F17B5">
        <w:rPr>
          <w:rFonts w:asciiTheme="minorHAnsi" w:hAnsiTheme="minorHAnsi" w:cstheme="minorHAnsi"/>
          <w:szCs w:val="24"/>
        </w:rPr>
        <w:t>io de 2020</w:t>
      </w:r>
    </w:p>
    <w:p w:rsidR="006F17B5" w:rsidRDefault="006F17B5"/>
    <w:sectPr w:rsidR="006F17B5" w:rsidSect="00C23F3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AC" w:rsidRDefault="00E61FAC" w:rsidP="00344FE7">
      <w:pPr>
        <w:spacing w:after="0" w:line="240" w:lineRule="auto"/>
      </w:pPr>
      <w:r>
        <w:separator/>
      </w:r>
    </w:p>
  </w:endnote>
  <w:endnote w:type="continuationSeparator" w:id="0">
    <w:p w:rsidR="00E61FAC" w:rsidRDefault="00E61FA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61FAC" w:rsidRPr="00C23F36" w:rsidRDefault="00E61FA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BE1CAD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AC" w:rsidRDefault="00E61FAC" w:rsidP="00344FE7">
      <w:pPr>
        <w:spacing w:after="0" w:line="240" w:lineRule="auto"/>
      </w:pPr>
      <w:r>
        <w:separator/>
      </w:r>
    </w:p>
  </w:footnote>
  <w:footnote w:type="continuationSeparator" w:id="0">
    <w:p w:rsidR="00E61FAC" w:rsidRDefault="00E61FA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AC" w:rsidRDefault="00E61FA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1FAC" w:rsidRDefault="00E61FAC">
    <w:pPr>
      <w:pStyle w:val="Encabezado"/>
    </w:pPr>
  </w:p>
  <w:p w:rsidR="00E61FAC" w:rsidRDefault="00E61FAC" w:rsidP="00344FE7">
    <w:pPr>
      <w:pStyle w:val="Encabezado"/>
    </w:pPr>
  </w:p>
  <w:p w:rsidR="00E61FAC" w:rsidRDefault="00E61FAC" w:rsidP="00344FE7">
    <w:pPr>
      <w:pStyle w:val="Encabezado"/>
    </w:pPr>
  </w:p>
  <w:p w:rsidR="00E61FAC" w:rsidRDefault="00E61FA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AC" w:rsidRDefault="00E61FA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8_"/>
      </v:shape>
    </w:pict>
  </w:numPicBullet>
  <w:abstractNum w:abstractNumId="0">
    <w:nsid w:val="18774FD0"/>
    <w:multiLevelType w:val="hybridMultilevel"/>
    <w:tmpl w:val="29589A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5981"/>
    <w:multiLevelType w:val="hybridMultilevel"/>
    <w:tmpl w:val="BECAFF46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D26EF"/>
    <w:multiLevelType w:val="hybridMultilevel"/>
    <w:tmpl w:val="9B661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97642"/>
    <w:multiLevelType w:val="hybridMultilevel"/>
    <w:tmpl w:val="171CF6E4"/>
    <w:lvl w:ilvl="0" w:tplc="06B4A95C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386A66"/>
    <w:multiLevelType w:val="hybridMultilevel"/>
    <w:tmpl w:val="310CEE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984E4E"/>
    <w:multiLevelType w:val="hybridMultilevel"/>
    <w:tmpl w:val="7A3A6508"/>
    <w:lvl w:ilvl="0" w:tplc="06B4A95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D10AE5"/>
    <w:multiLevelType w:val="hybridMultilevel"/>
    <w:tmpl w:val="47C0E9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15F8"/>
    <w:rsid w:val="00033E75"/>
    <w:rsid w:val="0004200D"/>
    <w:rsid w:val="000F021D"/>
    <w:rsid w:val="001257F9"/>
    <w:rsid w:val="0014196C"/>
    <w:rsid w:val="00175D6C"/>
    <w:rsid w:val="0018324C"/>
    <w:rsid w:val="00192B05"/>
    <w:rsid w:val="001B16D9"/>
    <w:rsid w:val="001D374D"/>
    <w:rsid w:val="001E44BC"/>
    <w:rsid w:val="00251194"/>
    <w:rsid w:val="0026047E"/>
    <w:rsid w:val="003259B9"/>
    <w:rsid w:val="00344FE7"/>
    <w:rsid w:val="00351475"/>
    <w:rsid w:val="00376E74"/>
    <w:rsid w:val="003B3FA9"/>
    <w:rsid w:val="003B5DE7"/>
    <w:rsid w:val="003F38BD"/>
    <w:rsid w:val="00420824"/>
    <w:rsid w:val="004B15B8"/>
    <w:rsid w:val="004D0014"/>
    <w:rsid w:val="0061147F"/>
    <w:rsid w:val="006A41E6"/>
    <w:rsid w:val="006F17B5"/>
    <w:rsid w:val="006F5890"/>
    <w:rsid w:val="0071472F"/>
    <w:rsid w:val="00730698"/>
    <w:rsid w:val="007342F2"/>
    <w:rsid w:val="00740420"/>
    <w:rsid w:val="007A662D"/>
    <w:rsid w:val="007C00E5"/>
    <w:rsid w:val="007C0642"/>
    <w:rsid w:val="007D24E2"/>
    <w:rsid w:val="00815DA2"/>
    <w:rsid w:val="0083043A"/>
    <w:rsid w:val="00846DCC"/>
    <w:rsid w:val="0089717A"/>
    <w:rsid w:val="008B2E62"/>
    <w:rsid w:val="00901F1F"/>
    <w:rsid w:val="009029E0"/>
    <w:rsid w:val="00981987"/>
    <w:rsid w:val="009D2560"/>
    <w:rsid w:val="009E3958"/>
    <w:rsid w:val="009F37A0"/>
    <w:rsid w:val="00A4016D"/>
    <w:rsid w:val="00B15715"/>
    <w:rsid w:val="00B2797F"/>
    <w:rsid w:val="00B31F84"/>
    <w:rsid w:val="00B35A53"/>
    <w:rsid w:val="00B82B2D"/>
    <w:rsid w:val="00BC7A82"/>
    <w:rsid w:val="00BE1CAD"/>
    <w:rsid w:val="00C17DE3"/>
    <w:rsid w:val="00C23F36"/>
    <w:rsid w:val="00C3135F"/>
    <w:rsid w:val="00C736B9"/>
    <w:rsid w:val="00CB50F3"/>
    <w:rsid w:val="00D445A4"/>
    <w:rsid w:val="00D71B91"/>
    <w:rsid w:val="00DB2CB4"/>
    <w:rsid w:val="00DB2CCC"/>
    <w:rsid w:val="00DD07B5"/>
    <w:rsid w:val="00DF7531"/>
    <w:rsid w:val="00E03C82"/>
    <w:rsid w:val="00E36345"/>
    <w:rsid w:val="00E4386D"/>
    <w:rsid w:val="00E5135F"/>
    <w:rsid w:val="00E52B52"/>
    <w:rsid w:val="00E61FAC"/>
    <w:rsid w:val="00E64F85"/>
    <w:rsid w:val="00E8345C"/>
    <w:rsid w:val="00EB7058"/>
    <w:rsid w:val="00EC3AAE"/>
    <w:rsid w:val="00EF5F68"/>
    <w:rsid w:val="00F40E9D"/>
    <w:rsid w:val="00F96DEE"/>
    <w:rsid w:val="00FA3B12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0F0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0F0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7FE0-4D65-4A51-88E6-87A67829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2020-07-15T11:04:00Z</dcterms:created>
  <dcterms:modified xsi:type="dcterms:W3CDTF">2020-07-15T11:49:00Z</dcterms:modified>
</cp:coreProperties>
</file>