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A208AC">
        <w:t>CESCE</w:t>
      </w:r>
      <w:r w:rsidR="00846DCC">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A416CE" w:rsidRPr="00A416CE" w:rsidRDefault="00A416CE" w:rsidP="00596282">
      <w:pPr>
        <w:jc w:val="both"/>
        <w:rPr>
          <w:rFonts w:asciiTheme="minorHAnsi" w:hAnsiTheme="minorHAnsi" w:cstheme="minorHAnsi"/>
          <w:szCs w:val="24"/>
        </w:rPr>
      </w:pPr>
      <w:r w:rsidRPr="00A416CE">
        <w:rPr>
          <w:rFonts w:asciiTheme="minorHAnsi" w:hAnsiTheme="minorHAnsi" w:cstheme="minorHAnsi"/>
          <w:szCs w:val="24"/>
        </w:rPr>
        <w:t xml:space="preserve">Una vez analizadas las observaciones realizadas por </w:t>
      </w:r>
      <w:r w:rsidR="00A208AC">
        <w:rPr>
          <w:rFonts w:asciiTheme="minorHAnsi" w:hAnsiTheme="minorHAnsi" w:cstheme="minorHAnsi"/>
          <w:szCs w:val="24"/>
        </w:rPr>
        <w:t>CESCE</w:t>
      </w:r>
      <w:r w:rsidRPr="00A416CE">
        <w:rPr>
          <w:rFonts w:asciiTheme="minorHAnsi" w:hAnsiTheme="minorHAnsi" w:cstheme="minorHAnsi"/>
          <w:szCs w:val="24"/>
        </w:rPr>
        <w:t xml:space="preserve"> al borrador de informe de evaluación en relación con el cumplimiento de las obligaciones de publicidad activa por parte del organismo, este CTBG efectúa las siguientes consideraciones:</w:t>
      </w:r>
    </w:p>
    <w:p w:rsidR="00A416CE" w:rsidRPr="00A416CE" w:rsidRDefault="00A416CE" w:rsidP="00A416CE">
      <w:pPr>
        <w:rPr>
          <w:rFonts w:asciiTheme="minorHAnsi" w:hAnsiTheme="minorHAnsi" w:cstheme="minorHAnsi"/>
          <w:szCs w:val="24"/>
        </w:rPr>
      </w:pPr>
      <w:bookmarkStart w:id="0" w:name="_GoBack"/>
      <w:bookmarkEnd w:id="0"/>
    </w:p>
    <w:p w:rsidR="00A416CE" w:rsidRDefault="00F401F8" w:rsidP="002759A7">
      <w:pPr>
        <w:pStyle w:val="Prrafodelista"/>
        <w:numPr>
          <w:ilvl w:val="0"/>
          <w:numId w:val="7"/>
        </w:numPr>
        <w:jc w:val="both"/>
        <w:rPr>
          <w:rFonts w:asciiTheme="minorHAnsi" w:hAnsiTheme="minorHAnsi" w:cstheme="minorHAnsi"/>
          <w:szCs w:val="24"/>
        </w:rPr>
      </w:pPr>
      <w:r>
        <w:rPr>
          <w:rFonts w:asciiTheme="minorHAnsi" w:hAnsiTheme="minorHAnsi" w:cstheme="minorHAnsi"/>
          <w:szCs w:val="24"/>
        </w:rPr>
        <w:t xml:space="preserve">Se acepta la </w:t>
      </w:r>
      <w:r w:rsidR="002759A7">
        <w:rPr>
          <w:rFonts w:asciiTheme="minorHAnsi" w:hAnsiTheme="minorHAnsi" w:cstheme="minorHAnsi"/>
          <w:szCs w:val="24"/>
        </w:rPr>
        <w:t xml:space="preserve">incorporación </w:t>
      </w:r>
      <w:r>
        <w:rPr>
          <w:rFonts w:asciiTheme="minorHAnsi" w:hAnsiTheme="minorHAnsi" w:cstheme="minorHAnsi"/>
          <w:szCs w:val="24"/>
        </w:rPr>
        <w:t xml:space="preserve">de los </w:t>
      </w:r>
      <w:r w:rsidR="003D2877">
        <w:rPr>
          <w:rFonts w:asciiTheme="minorHAnsi" w:hAnsiTheme="minorHAnsi" w:cstheme="minorHAnsi"/>
          <w:szCs w:val="24"/>
        </w:rPr>
        <w:t>datos estadísticos sobre los contratos realizados</w:t>
      </w:r>
      <w:r w:rsidR="002759A7">
        <w:rPr>
          <w:rFonts w:asciiTheme="minorHAnsi" w:hAnsiTheme="minorHAnsi" w:cstheme="minorHAnsi"/>
          <w:szCs w:val="24"/>
        </w:rPr>
        <w:t xml:space="preserve"> dado que dicha incorporación se ha producido dentro del periodo de evaluación</w:t>
      </w:r>
      <w:r w:rsidR="00A416CE" w:rsidRPr="00F401F8">
        <w:rPr>
          <w:rFonts w:asciiTheme="minorHAnsi" w:hAnsiTheme="minorHAnsi" w:cstheme="minorHAnsi"/>
          <w:szCs w:val="24"/>
        </w:rPr>
        <w:t xml:space="preserve">. </w:t>
      </w:r>
      <w:r w:rsidR="002759A7">
        <w:rPr>
          <w:rFonts w:asciiTheme="minorHAnsi" w:hAnsiTheme="minorHAnsi" w:cstheme="minorHAnsi"/>
          <w:szCs w:val="24"/>
        </w:rPr>
        <w:t>En consecuencia</w:t>
      </w:r>
      <w:r w:rsidR="00590103">
        <w:rPr>
          <w:rFonts w:asciiTheme="minorHAnsi" w:hAnsiTheme="minorHAnsi" w:cstheme="minorHAnsi"/>
          <w:szCs w:val="24"/>
        </w:rPr>
        <w:t>,</w:t>
      </w:r>
      <w:r w:rsidR="002759A7">
        <w:rPr>
          <w:rFonts w:asciiTheme="minorHAnsi" w:hAnsiTheme="minorHAnsi" w:cstheme="minorHAnsi"/>
          <w:szCs w:val="24"/>
        </w:rPr>
        <w:t xml:space="preserve"> se modifica la valoración del cumplimiento de </w:t>
      </w:r>
      <w:r w:rsidR="003D2877">
        <w:rPr>
          <w:rFonts w:asciiTheme="minorHAnsi" w:hAnsiTheme="minorHAnsi" w:cstheme="minorHAnsi"/>
          <w:szCs w:val="24"/>
        </w:rPr>
        <w:t>esta</w:t>
      </w:r>
      <w:r w:rsidR="002759A7">
        <w:rPr>
          <w:rFonts w:asciiTheme="minorHAnsi" w:hAnsiTheme="minorHAnsi" w:cstheme="minorHAnsi"/>
          <w:szCs w:val="24"/>
        </w:rPr>
        <w:t xml:space="preserve"> obligación</w:t>
      </w:r>
      <w:r w:rsidR="00590103">
        <w:rPr>
          <w:rFonts w:asciiTheme="minorHAnsi" w:hAnsiTheme="minorHAnsi" w:cstheme="minorHAnsi"/>
          <w:szCs w:val="24"/>
        </w:rPr>
        <w:t>.</w:t>
      </w:r>
    </w:p>
    <w:p w:rsidR="00590103" w:rsidRDefault="00590103" w:rsidP="00590103">
      <w:pPr>
        <w:pStyle w:val="Prrafodelista"/>
        <w:jc w:val="both"/>
        <w:rPr>
          <w:rFonts w:asciiTheme="minorHAnsi" w:hAnsiTheme="minorHAnsi" w:cstheme="minorHAnsi"/>
          <w:szCs w:val="24"/>
        </w:rPr>
      </w:pPr>
    </w:p>
    <w:p w:rsidR="00A00E2C" w:rsidRDefault="003D2877" w:rsidP="00A00E2C">
      <w:pPr>
        <w:pStyle w:val="Prrafodelista"/>
        <w:numPr>
          <w:ilvl w:val="0"/>
          <w:numId w:val="7"/>
        </w:numPr>
        <w:jc w:val="both"/>
        <w:rPr>
          <w:rFonts w:asciiTheme="minorHAnsi" w:hAnsiTheme="minorHAnsi" w:cstheme="minorHAnsi"/>
          <w:szCs w:val="24"/>
        </w:rPr>
      </w:pPr>
      <w:r>
        <w:rPr>
          <w:rFonts w:asciiTheme="minorHAnsi" w:hAnsiTheme="minorHAnsi" w:cstheme="minorHAnsi"/>
          <w:szCs w:val="24"/>
        </w:rPr>
        <w:t>Respecto de la inclusión de la información relativa a los encargos realizados por CESCE a empresas a empr</w:t>
      </w:r>
      <w:r w:rsidR="00982CF3">
        <w:rPr>
          <w:rFonts w:asciiTheme="minorHAnsi" w:hAnsiTheme="minorHAnsi" w:cstheme="minorHAnsi"/>
          <w:szCs w:val="24"/>
        </w:rPr>
        <w:t xml:space="preserve">esas del grupo, realmente esta obligación se aplica a los encargos a las entidades declaradas Medios Propios de las administraciones públicas. Las empresas del grupo CESCE no entrarían dentro de este supuesto. Por esta razón este Consejo ha considerado esta obligación como no aplicable  y por tanto no valorable a efectos de cumplimiento. El hecho de que una obligación se considere no aplicable </w:t>
      </w:r>
      <w:r w:rsidR="00F9384C">
        <w:rPr>
          <w:rFonts w:asciiTheme="minorHAnsi" w:hAnsiTheme="minorHAnsi" w:cstheme="minorHAnsi"/>
          <w:szCs w:val="24"/>
        </w:rPr>
        <w:t xml:space="preserve">no </w:t>
      </w:r>
      <w:r w:rsidR="00982CF3">
        <w:rPr>
          <w:rFonts w:asciiTheme="minorHAnsi" w:hAnsiTheme="minorHAnsi" w:cstheme="minorHAnsi"/>
          <w:szCs w:val="24"/>
        </w:rPr>
        <w:t xml:space="preserve">tiene impacto en la valoración global del cumplimiento por parte de la organización.    </w:t>
      </w:r>
    </w:p>
    <w:p w:rsidR="00982CF3" w:rsidRPr="00982CF3" w:rsidRDefault="00982CF3" w:rsidP="00982CF3">
      <w:pPr>
        <w:pStyle w:val="Prrafodelista"/>
        <w:rPr>
          <w:rFonts w:asciiTheme="minorHAnsi" w:hAnsiTheme="minorHAnsi" w:cstheme="minorHAnsi"/>
          <w:szCs w:val="24"/>
        </w:rPr>
      </w:pPr>
    </w:p>
    <w:p w:rsidR="00982CF3" w:rsidRPr="00A00E2C" w:rsidRDefault="00982CF3" w:rsidP="00982CF3">
      <w:pPr>
        <w:pStyle w:val="Prrafodelista"/>
        <w:numPr>
          <w:ilvl w:val="0"/>
          <w:numId w:val="7"/>
        </w:numPr>
        <w:jc w:val="both"/>
        <w:rPr>
          <w:rFonts w:asciiTheme="minorHAnsi" w:hAnsiTheme="minorHAnsi" w:cstheme="minorHAnsi"/>
          <w:szCs w:val="24"/>
        </w:rPr>
      </w:pPr>
      <w:r>
        <w:rPr>
          <w:rFonts w:asciiTheme="minorHAnsi" w:hAnsiTheme="minorHAnsi" w:cstheme="minorHAnsi"/>
          <w:szCs w:val="24"/>
        </w:rPr>
        <w:t xml:space="preserve">Respecto de la valoración que CESCE efectúa sobre si la entidad está incluida en el ámbito de aplicación del artículo 77.1 </w:t>
      </w:r>
      <w:r w:rsidRPr="00982CF3">
        <w:rPr>
          <w:rFonts w:asciiTheme="minorHAnsi" w:hAnsiTheme="minorHAnsi" w:cstheme="minorHAnsi"/>
          <w:szCs w:val="24"/>
        </w:rPr>
        <w:t>de la Ley Orgánica de Protección de Datos Personales y Garantía de los Derechos Digitales</w:t>
      </w:r>
      <w:r>
        <w:rPr>
          <w:rFonts w:asciiTheme="minorHAnsi" w:hAnsiTheme="minorHAnsi" w:cstheme="minorHAnsi"/>
          <w:szCs w:val="24"/>
        </w:rPr>
        <w:t xml:space="preserve">, inicialmente este Consejo considera que </w:t>
      </w:r>
      <w:r w:rsidR="00F9384C">
        <w:rPr>
          <w:rFonts w:asciiTheme="minorHAnsi" w:hAnsiTheme="minorHAnsi" w:cstheme="minorHAnsi"/>
          <w:szCs w:val="24"/>
        </w:rPr>
        <w:t xml:space="preserve">todos los entes que conforman el Sector Público Institucional están incluidos. No obstante, dado que el artículo 77.1 no menciona expresamente a las sociedades mercantiles estatales, se ha decidido efectuar una consulta sobre esta cuestión a la Agencia Española de Protección de Datos.  </w:t>
      </w:r>
    </w:p>
    <w:p w:rsidR="00590103" w:rsidRPr="00590103" w:rsidRDefault="00590103" w:rsidP="00590103">
      <w:pPr>
        <w:pStyle w:val="Prrafodelista"/>
        <w:rPr>
          <w:rFonts w:asciiTheme="minorHAnsi" w:hAnsiTheme="minorHAnsi" w:cstheme="minorHAnsi"/>
          <w:szCs w:val="24"/>
        </w:rPr>
      </w:pPr>
    </w:p>
    <w:p w:rsidR="00F34DCE" w:rsidRPr="00F401F8" w:rsidRDefault="00F34DCE" w:rsidP="00590103">
      <w:pPr>
        <w:pStyle w:val="Prrafodelista"/>
        <w:numPr>
          <w:ilvl w:val="0"/>
          <w:numId w:val="7"/>
        </w:numPr>
        <w:jc w:val="both"/>
        <w:rPr>
          <w:rFonts w:asciiTheme="minorHAnsi" w:hAnsiTheme="minorHAnsi" w:cstheme="minorHAnsi"/>
          <w:szCs w:val="24"/>
        </w:rPr>
      </w:pPr>
      <w:r>
        <w:rPr>
          <w:rFonts w:asciiTheme="minorHAnsi" w:hAnsiTheme="minorHAnsi" w:cstheme="minorHAnsi"/>
          <w:szCs w:val="24"/>
        </w:rPr>
        <w:t xml:space="preserve">Tras la revisión efectuada por este Consejo, el Índice de Cumplimiento de la Información Obligatoria se sitúa en </w:t>
      </w:r>
      <w:r w:rsidR="007246C7">
        <w:rPr>
          <w:rFonts w:asciiTheme="minorHAnsi" w:hAnsiTheme="minorHAnsi" w:cstheme="minorHAnsi"/>
          <w:szCs w:val="24"/>
        </w:rPr>
        <w:t xml:space="preserve">el  </w:t>
      </w:r>
      <w:r w:rsidR="00F9384C">
        <w:rPr>
          <w:rFonts w:asciiTheme="minorHAnsi" w:hAnsiTheme="minorHAnsi" w:cstheme="minorHAnsi"/>
          <w:szCs w:val="24"/>
        </w:rPr>
        <w:t>93,7</w:t>
      </w:r>
      <w:r w:rsidR="007246C7">
        <w:rPr>
          <w:rFonts w:asciiTheme="minorHAnsi" w:hAnsiTheme="minorHAnsi" w:cstheme="minorHAnsi"/>
          <w:szCs w:val="24"/>
        </w:rPr>
        <w:t>%</w:t>
      </w:r>
    </w:p>
    <w:p w:rsidR="00A416CE" w:rsidRPr="00A416CE" w:rsidRDefault="00A416CE" w:rsidP="00A416CE">
      <w:pPr>
        <w:rPr>
          <w:rFonts w:asciiTheme="minorHAnsi" w:hAnsiTheme="minorHAnsi" w:cstheme="minorHAnsi"/>
          <w:szCs w:val="24"/>
        </w:rPr>
      </w:pPr>
    </w:p>
    <w:p w:rsidR="00A416CE" w:rsidRDefault="00A416CE" w:rsidP="00F9384C">
      <w:pPr>
        <w:jc w:val="both"/>
        <w:rPr>
          <w:rFonts w:asciiTheme="minorHAnsi" w:hAnsiTheme="minorHAnsi" w:cstheme="minorHAnsi"/>
          <w:szCs w:val="24"/>
        </w:rPr>
      </w:pPr>
      <w:r w:rsidRPr="00A416CE">
        <w:rPr>
          <w:rFonts w:asciiTheme="minorHAnsi" w:hAnsiTheme="minorHAnsi" w:cstheme="minorHAnsi"/>
          <w:szCs w:val="24"/>
        </w:rPr>
        <w:t xml:space="preserve">Finalmente este Consejo </w:t>
      </w:r>
      <w:r w:rsidR="00114552">
        <w:rPr>
          <w:rFonts w:asciiTheme="minorHAnsi" w:hAnsiTheme="minorHAnsi" w:cstheme="minorHAnsi"/>
          <w:szCs w:val="24"/>
        </w:rPr>
        <w:t xml:space="preserve">reitera su reconocimiento a CESCE </w:t>
      </w:r>
      <w:r w:rsidR="00114552" w:rsidRPr="00A416CE">
        <w:rPr>
          <w:rFonts w:asciiTheme="minorHAnsi" w:hAnsiTheme="minorHAnsi" w:cstheme="minorHAnsi"/>
          <w:szCs w:val="24"/>
        </w:rPr>
        <w:t xml:space="preserve"> </w:t>
      </w:r>
      <w:r w:rsidR="00114552">
        <w:rPr>
          <w:rFonts w:asciiTheme="minorHAnsi" w:hAnsiTheme="minorHAnsi" w:cstheme="minorHAnsi"/>
          <w:szCs w:val="24"/>
        </w:rPr>
        <w:t>por su</w:t>
      </w:r>
      <w:r w:rsidR="007246C7">
        <w:rPr>
          <w:rFonts w:asciiTheme="minorHAnsi" w:hAnsiTheme="minorHAnsi" w:cstheme="minorHAnsi"/>
          <w:szCs w:val="24"/>
        </w:rPr>
        <w:t xml:space="preserve"> </w:t>
      </w:r>
      <w:proofErr w:type="spellStart"/>
      <w:r w:rsidR="007246C7">
        <w:rPr>
          <w:rFonts w:asciiTheme="minorHAnsi" w:hAnsiTheme="minorHAnsi" w:cstheme="minorHAnsi"/>
          <w:szCs w:val="24"/>
        </w:rPr>
        <w:t>proactividad</w:t>
      </w:r>
      <w:proofErr w:type="spellEnd"/>
      <w:r w:rsidR="007246C7">
        <w:rPr>
          <w:rFonts w:asciiTheme="minorHAnsi" w:hAnsiTheme="minorHAnsi" w:cstheme="minorHAnsi"/>
          <w:szCs w:val="24"/>
        </w:rPr>
        <w:t xml:space="preserve"> en la aplicación de las recomendaciones efectuadas y </w:t>
      </w:r>
      <w:r w:rsidR="00114552">
        <w:rPr>
          <w:rFonts w:asciiTheme="minorHAnsi" w:hAnsiTheme="minorHAnsi" w:cstheme="minorHAnsi"/>
          <w:szCs w:val="24"/>
        </w:rPr>
        <w:t xml:space="preserve">por </w:t>
      </w:r>
      <w:r w:rsidR="007246C7">
        <w:rPr>
          <w:rFonts w:asciiTheme="minorHAnsi" w:hAnsiTheme="minorHAnsi" w:cstheme="minorHAnsi"/>
          <w:szCs w:val="24"/>
        </w:rPr>
        <w:t>su</w:t>
      </w:r>
      <w:r w:rsidRPr="00A416CE">
        <w:rPr>
          <w:rFonts w:asciiTheme="minorHAnsi" w:hAnsiTheme="minorHAnsi" w:cstheme="minorHAnsi"/>
          <w:szCs w:val="24"/>
        </w:rPr>
        <w:t xml:space="preserve"> disposición </w:t>
      </w:r>
      <w:r w:rsidR="007246C7">
        <w:rPr>
          <w:rFonts w:asciiTheme="minorHAnsi" w:hAnsiTheme="minorHAnsi" w:cstheme="minorHAnsi"/>
          <w:szCs w:val="24"/>
        </w:rPr>
        <w:t xml:space="preserve">a seguir </w:t>
      </w:r>
      <w:r w:rsidR="00F9384C">
        <w:rPr>
          <w:rFonts w:asciiTheme="minorHAnsi" w:hAnsiTheme="minorHAnsi" w:cstheme="minorHAnsi"/>
          <w:szCs w:val="24"/>
        </w:rPr>
        <w:t>trabajando en la mejora de la transparencia de la compañía.</w:t>
      </w:r>
    </w:p>
    <w:p w:rsidR="00F9384C" w:rsidRPr="00A416CE" w:rsidRDefault="00F9384C" w:rsidP="00F9384C">
      <w:pPr>
        <w:jc w:val="both"/>
        <w:rPr>
          <w:rFonts w:asciiTheme="minorHAnsi" w:hAnsiTheme="minorHAnsi" w:cstheme="minorHAnsi"/>
          <w:szCs w:val="24"/>
        </w:rPr>
      </w:pPr>
    </w:p>
    <w:p w:rsidR="006F17B5" w:rsidRDefault="00A416CE" w:rsidP="0098473D">
      <w:pPr>
        <w:jc w:val="right"/>
      </w:pPr>
      <w:r w:rsidRPr="00A416CE">
        <w:rPr>
          <w:rFonts w:asciiTheme="minorHAnsi" w:hAnsiTheme="minorHAnsi" w:cstheme="minorHAnsi"/>
          <w:szCs w:val="24"/>
        </w:rPr>
        <w:t xml:space="preserve">Madrid, </w:t>
      </w:r>
      <w:r w:rsidR="00F34DCE">
        <w:rPr>
          <w:rFonts w:asciiTheme="minorHAnsi" w:hAnsiTheme="minorHAnsi" w:cstheme="minorHAnsi"/>
          <w:szCs w:val="24"/>
        </w:rPr>
        <w:t>julio</w:t>
      </w:r>
      <w:r w:rsidRPr="00A416CE">
        <w:rPr>
          <w:rFonts w:asciiTheme="minorHAnsi" w:hAnsiTheme="minorHAnsi" w:cstheme="minorHAnsi"/>
          <w:szCs w:val="24"/>
        </w:rPr>
        <w:t xml:space="preserve"> de 20</w:t>
      </w:r>
      <w:r w:rsidR="00F34DCE">
        <w:rPr>
          <w:rFonts w:asciiTheme="minorHAnsi" w:hAnsiTheme="minorHAnsi" w:cstheme="minorHAnsi"/>
          <w:szCs w:val="24"/>
        </w:rPr>
        <w:t>20</w:t>
      </w:r>
    </w:p>
    <w:sectPr w:rsid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84C" w:rsidRDefault="00F9384C" w:rsidP="00344FE7">
      <w:pPr>
        <w:spacing w:after="0" w:line="240" w:lineRule="auto"/>
      </w:pPr>
      <w:r>
        <w:separator/>
      </w:r>
    </w:p>
  </w:endnote>
  <w:endnote w:type="continuationSeparator" w:id="0">
    <w:p w:rsidR="00F9384C" w:rsidRDefault="00F9384C"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F9384C" w:rsidRPr="00C23F36" w:rsidRDefault="00F9384C"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98473D">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84C" w:rsidRDefault="00F9384C" w:rsidP="00344FE7">
      <w:pPr>
        <w:spacing w:after="0" w:line="240" w:lineRule="auto"/>
      </w:pPr>
      <w:r>
        <w:separator/>
      </w:r>
    </w:p>
  </w:footnote>
  <w:footnote w:type="continuationSeparator" w:id="0">
    <w:p w:rsidR="00F9384C" w:rsidRDefault="00F9384C"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4C" w:rsidRDefault="00F9384C">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F9384C" w:rsidRDefault="00F9384C">
    <w:pPr>
      <w:pStyle w:val="Encabezado"/>
    </w:pPr>
  </w:p>
  <w:p w:rsidR="00F9384C" w:rsidRDefault="00F9384C" w:rsidP="00344FE7">
    <w:pPr>
      <w:pStyle w:val="Encabezado"/>
    </w:pPr>
  </w:p>
  <w:p w:rsidR="00F9384C" w:rsidRDefault="00F9384C" w:rsidP="00344FE7">
    <w:pPr>
      <w:pStyle w:val="Encabezado"/>
    </w:pPr>
  </w:p>
  <w:p w:rsidR="00F9384C" w:rsidRDefault="00F9384C"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4C" w:rsidRDefault="00F9384C"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8_"/>
      </v:shape>
    </w:pict>
  </w:numPicBullet>
  <w:abstractNum w:abstractNumId="0">
    <w:nsid w:val="18774FD0"/>
    <w:multiLevelType w:val="hybridMultilevel"/>
    <w:tmpl w:val="29589A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151BEF"/>
    <w:multiLevelType w:val="hybridMultilevel"/>
    <w:tmpl w:val="2B9E9F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8B95981"/>
    <w:multiLevelType w:val="hybridMultilevel"/>
    <w:tmpl w:val="CDBC4916"/>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3F0D26EF"/>
    <w:multiLevelType w:val="hybridMultilevel"/>
    <w:tmpl w:val="9B661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7597642"/>
    <w:multiLevelType w:val="hybridMultilevel"/>
    <w:tmpl w:val="171CF6E4"/>
    <w:lvl w:ilvl="0" w:tplc="06B4A95C">
      <w:start w:val="1"/>
      <w:numFmt w:val="bullet"/>
      <w:lvlText w:val=""/>
      <w:lvlPicBulletId w:val="0"/>
      <w:lvlJc w:val="left"/>
      <w:pPr>
        <w:ind w:left="1571" w:hanging="360"/>
      </w:pPr>
      <w:rPr>
        <w:rFonts w:ascii="Symbol" w:hAnsi="Symbol" w:hint="default"/>
        <w:color w:val="auto"/>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
    <w:nsid w:val="52386A66"/>
    <w:multiLevelType w:val="hybridMultilevel"/>
    <w:tmpl w:val="310CEE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77984E4E"/>
    <w:multiLevelType w:val="hybridMultilevel"/>
    <w:tmpl w:val="7A3A6508"/>
    <w:lvl w:ilvl="0" w:tplc="06B4A95C">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15F8"/>
    <w:rsid w:val="00033E75"/>
    <w:rsid w:val="00114552"/>
    <w:rsid w:val="001257F9"/>
    <w:rsid w:val="0014196C"/>
    <w:rsid w:val="00175D6C"/>
    <w:rsid w:val="0018324C"/>
    <w:rsid w:val="001B16D9"/>
    <w:rsid w:val="001E44BC"/>
    <w:rsid w:val="00251194"/>
    <w:rsid w:val="00270686"/>
    <w:rsid w:val="002759A7"/>
    <w:rsid w:val="003259B9"/>
    <w:rsid w:val="00344FE7"/>
    <w:rsid w:val="00351475"/>
    <w:rsid w:val="003B5DE7"/>
    <w:rsid w:val="003D2877"/>
    <w:rsid w:val="003F38BD"/>
    <w:rsid w:val="00420824"/>
    <w:rsid w:val="004B15B8"/>
    <w:rsid w:val="00590103"/>
    <w:rsid w:val="00596282"/>
    <w:rsid w:val="0061147F"/>
    <w:rsid w:val="00664B1A"/>
    <w:rsid w:val="006A41E6"/>
    <w:rsid w:val="006F17B5"/>
    <w:rsid w:val="006F5890"/>
    <w:rsid w:val="0071472F"/>
    <w:rsid w:val="007246C7"/>
    <w:rsid w:val="00730698"/>
    <w:rsid w:val="007342F2"/>
    <w:rsid w:val="00740420"/>
    <w:rsid w:val="007A662D"/>
    <w:rsid w:val="007C00E5"/>
    <w:rsid w:val="007C0642"/>
    <w:rsid w:val="007D24E2"/>
    <w:rsid w:val="00815DA2"/>
    <w:rsid w:val="0083043A"/>
    <w:rsid w:val="00846DCC"/>
    <w:rsid w:val="0089717A"/>
    <w:rsid w:val="00901F1F"/>
    <w:rsid w:val="009029E0"/>
    <w:rsid w:val="00981987"/>
    <w:rsid w:val="00982CF3"/>
    <w:rsid w:val="0098473D"/>
    <w:rsid w:val="009D2560"/>
    <w:rsid w:val="009E3958"/>
    <w:rsid w:val="00A00E2C"/>
    <w:rsid w:val="00A208AC"/>
    <w:rsid w:val="00A3003D"/>
    <w:rsid w:val="00A4016D"/>
    <w:rsid w:val="00A416CE"/>
    <w:rsid w:val="00B15715"/>
    <w:rsid w:val="00B2797F"/>
    <w:rsid w:val="00B31F84"/>
    <w:rsid w:val="00B35A53"/>
    <w:rsid w:val="00B82B2D"/>
    <w:rsid w:val="00BC7A82"/>
    <w:rsid w:val="00C17DE3"/>
    <w:rsid w:val="00C23F36"/>
    <w:rsid w:val="00C3135F"/>
    <w:rsid w:val="00C736B9"/>
    <w:rsid w:val="00CB50F3"/>
    <w:rsid w:val="00D445A4"/>
    <w:rsid w:val="00D71B91"/>
    <w:rsid w:val="00DB2CB4"/>
    <w:rsid w:val="00DB2CCC"/>
    <w:rsid w:val="00DD07B5"/>
    <w:rsid w:val="00DF7531"/>
    <w:rsid w:val="00E03C82"/>
    <w:rsid w:val="00E36345"/>
    <w:rsid w:val="00E4386D"/>
    <w:rsid w:val="00E5135F"/>
    <w:rsid w:val="00E64F85"/>
    <w:rsid w:val="00EB7058"/>
    <w:rsid w:val="00EC3AAE"/>
    <w:rsid w:val="00EF5F68"/>
    <w:rsid w:val="00F34DCE"/>
    <w:rsid w:val="00F401F8"/>
    <w:rsid w:val="00F40E9D"/>
    <w:rsid w:val="00F93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yolanda.diez</cp:lastModifiedBy>
  <cp:revision>5</cp:revision>
  <cp:lastPrinted>2015-01-27T17:42:00Z</cp:lastPrinted>
  <dcterms:created xsi:type="dcterms:W3CDTF">2020-07-15T09:21:00Z</dcterms:created>
  <dcterms:modified xsi:type="dcterms:W3CDTF">2020-07-15T10:20:00Z</dcterms:modified>
</cp:coreProperties>
</file>