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-34925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EndPr/>
                            <w:sdtContent>
                              <w:p w:rsidR="00195219" w:rsidRDefault="00195219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</w:pP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 cumplimiento de las recomendaciones efectuadas por el CTBG en materia de Publicidad Activa  por parte de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l</w:t>
                                </w:r>
                              </w:p>
                            </w:sdtContent>
                          </w:sdt>
                          <w:p w:rsidR="00195219" w:rsidRPr="007F1D56" w:rsidRDefault="00195219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Museo Nacional del Prado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2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3D0MpN0A&#10;AAAKAQAADwAAAAAAAAAAAAAAAAARBQAAZHJzL2Rvd25yZXYueG1sUEsFBgAAAAAEAAQA8wAAABsG&#10;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40"/>
                          <w:szCs w:val="4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EndPr/>
                      <w:sdtContent>
                        <w:p w:rsidR="00195219" w:rsidRDefault="00195219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</w:pP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 cumplimiento de las recomendaciones efectuadas por el CTBG en materia de Publicidad Activa  por parte de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l</w:t>
                          </w:r>
                        </w:p>
                      </w:sdtContent>
                    </w:sdt>
                    <w:p w:rsidR="00195219" w:rsidRPr="007F1D56" w:rsidRDefault="00195219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Museo Nacional del Prado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95219" w:rsidRDefault="00195219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30264F" w:rsidRDefault="0030264F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526199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7F1D56" w:rsidRPr="007942B7" w:rsidTr="001C7D84">
        <w:tc>
          <w:tcPr>
            <w:tcW w:w="209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243294" w:rsidRPr="007942B7" w:rsidTr="001C7D84">
        <w:tc>
          <w:tcPr>
            <w:tcW w:w="2093" w:type="dxa"/>
            <w:vMerge w:val="restart"/>
          </w:tcPr>
          <w:p w:rsidR="00243294" w:rsidRPr="007942B7" w:rsidRDefault="00243294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Localización y estructuración de la </w:t>
            </w:r>
            <w:bookmarkStart w:id="0" w:name="_GoBack"/>
            <w:bookmarkEnd w:id="0"/>
            <w:r w:rsidRPr="007942B7">
              <w:rPr>
                <w:sz w:val="20"/>
                <w:szCs w:val="20"/>
              </w:rPr>
              <w:t>Información</w:t>
            </w:r>
          </w:p>
        </w:tc>
        <w:tc>
          <w:tcPr>
            <w:tcW w:w="4819" w:type="dxa"/>
          </w:tcPr>
          <w:p w:rsidR="00243294" w:rsidRPr="007942B7" w:rsidRDefault="00243294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</w:tcPr>
          <w:p w:rsidR="00243294" w:rsidRPr="007942B7" w:rsidRDefault="00104DE9" w:rsidP="00104DE9">
            <w:pPr>
              <w:jc w:val="center"/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43294" w:rsidRPr="007942B7" w:rsidRDefault="00112431" w:rsidP="0079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243294" w:rsidRPr="007942B7" w:rsidTr="001C7D84">
        <w:tc>
          <w:tcPr>
            <w:tcW w:w="2093" w:type="dxa"/>
            <w:vMerge/>
          </w:tcPr>
          <w:p w:rsidR="00243294" w:rsidRPr="007942B7" w:rsidRDefault="00243294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43294" w:rsidRPr="007942B7" w:rsidRDefault="00243294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</w:tcPr>
          <w:p w:rsidR="00243294" w:rsidRPr="007942B7" w:rsidRDefault="00112431" w:rsidP="00104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43294" w:rsidRPr="007942B7" w:rsidRDefault="00112431" w:rsidP="00825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8B7363" w:rsidRPr="007942B7" w:rsidTr="008B7363">
        <w:tc>
          <w:tcPr>
            <w:tcW w:w="2093" w:type="dxa"/>
            <w:vMerge w:val="restart"/>
            <w:vAlign w:val="center"/>
          </w:tcPr>
          <w:p w:rsidR="008B7363" w:rsidRPr="007942B7" w:rsidRDefault="008B7363" w:rsidP="008B7363">
            <w:pPr>
              <w:rPr>
                <w:sz w:val="20"/>
                <w:szCs w:val="20"/>
              </w:rPr>
            </w:pPr>
            <w:r w:rsidRPr="0001674E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8B7363" w:rsidRPr="007942B7" w:rsidRDefault="008B7363" w:rsidP="0079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Identificación y perfil de máximos responsables de manera directa</w:t>
            </w:r>
          </w:p>
        </w:tc>
        <w:tc>
          <w:tcPr>
            <w:tcW w:w="567" w:type="dxa"/>
          </w:tcPr>
          <w:p w:rsidR="008B7363" w:rsidRPr="007942B7" w:rsidRDefault="008B7363" w:rsidP="00794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B7363" w:rsidRPr="007942B7" w:rsidRDefault="008B7363" w:rsidP="00A02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publica en la propia web</w:t>
            </w:r>
          </w:p>
        </w:tc>
      </w:tr>
      <w:tr w:rsidR="008B7363" w:rsidRPr="007942B7" w:rsidTr="001C7D84">
        <w:tc>
          <w:tcPr>
            <w:tcW w:w="2093" w:type="dxa"/>
            <w:vMerge/>
          </w:tcPr>
          <w:p w:rsidR="008B7363" w:rsidRPr="007942B7" w:rsidRDefault="008B7363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B7363" w:rsidRPr="007942B7" w:rsidRDefault="008B7363" w:rsidP="001A0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Retribuciones Altos Cargos en la web</w:t>
            </w:r>
          </w:p>
        </w:tc>
        <w:tc>
          <w:tcPr>
            <w:tcW w:w="567" w:type="dxa"/>
          </w:tcPr>
          <w:p w:rsidR="008B7363" w:rsidRPr="007942B7" w:rsidRDefault="008B7363" w:rsidP="00104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B7363" w:rsidRPr="007942B7" w:rsidRDefault="008B7363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No, remite a PTAGE</w:t>
            </w:r>
          </w:p>
        </w:tc>
      </w:tr>
      <w:tr w:rsidR="008B7363" w:rsidRPr="007942B7" w:rsidTr="001C7D84">
        <w:tc>
          <w:tcPr>
            <w:tcW w:w="2093" w:type="dxa"/>
            <w:vMerge/>
          </w:tcPr>
          <w:p w:rsidR="008B7363" w:rsidRPr="007942B7" w:rsidRDefault="008B7363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B7363" w:rsidRDefault="008B7363" w:rsidP="00A02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Cuadros resumen de la información centralizada (contratos, convenios, encomiendas, subvenciones)</w:t>
            </w:r>
          </w:p>
        </w:tc>
        <w:tc>
          <w:tcPr>
            <w:tcW w:w="567" w:type="dxa"/>
          </w:tcPr>
          <w:p w:rsidR="008B7363" w:rsidRDefault="008B7363" w:rsidP="00104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B7363" w:rsidRDefault="008B7363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8B7363" w:rsidRPr="007942B7" w:rsidTr="008B7363">
        <w:trPr>
          <w:trHeight w:val="400"/>
        </w:trPr>
        <w:tc>
          <w:tcPr>
            <w:tcW w:w="2093" w:type="dxa"/>
            <w:vMerge w:val="restart"/>
            <w:vAlign w:val="center"/>
          </w:tcPr>
          <w:p w:rsidR="008B7363" w:rsidRPr="007942B7" w:rsidRDefault="008B7363" w:rsidP="008B7363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8B7363" w:rsidRPr="007942B7" w:rsidRDefault="008B7363" w:rsidP="002432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</w:tcPr>
          <w:p w:rsidR="008B7363" w:rsidRPr="007942B7" w:rsidRDefault="008B7363" w:rsidP="00104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8B7363" w:rsidRPr="007942B7" w:rsidRDefault="008B7363" w:rsidP="00AC4A6F">
            <w:pPr>
              <w:rPr>
                <w:sz w:val="20"/>
                <w:szCs w:val="20"/>
              </w:rPr>
            </w:pPr>
          </w:p>
        </w:tc>
      </w:tr>
      <w:tr w:rsidR="008B7363" w:rsidRPr="007942B7" w:rsidTr="001C7D84">
        <w:tc>
          <w:tcPr>
            <w:tcW w:w="2093" w:type="dxa"/>
            <w:vMerge/>
          </w:tcPr>
          <w:p w:rsidR="008B7363" w:rsidRPr="007942B7" w:rsidRDefault="008B7363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B7363" w:rsidRPr="007942B7" w:rsidRDefault="008B7363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</w:p>
        </w:tc>
        <w:tc>
          <w:tcPr>
            <w:tcW w:w="567" w:type="dxa"/>
          </w:tcPr>
          <w:p w:rsidR="008B7363" w:rsidRPr="007942B7" w:rsidRDefault="008B7363" w:rsidP="00104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8B7363" w:rsidRPr="007942B7" w:rsidRDefault="008B7363" w:rsidP="00AC4A6F">
            <w:pPr>
              <w:rPr>
                <w:sz w:val="20"/>
                <w:szCs w:val="20"/>
              </w:rPr>
            </w:pPr>
          </w:p>
        </w:tc>
      </w:tr>
      <w:tr w:rsidR="008B7363" w:rsidRPr="007942B7" w:rsidTr="001C7D84">
        <w:tc>
          <w:tcPr>
            <w:tcW w:w="2093" w:type="dxa"/>
            <w:vMerge/>
          </w:tcPr>
          <w:p w:rsidR="008B7363" w:rsidRPr="007942B7" w:rsidRDefault="008B7363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B7363" w:rsidRPr="007942B7" w:rsidRDefault="008B7363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</w:tcPr>
          <w:p w:rsidR="008B7363" w:rsidRPr="007942B7" w:rsidRDefault="008B7363" w:rsidP="00104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8B7363" w:rsidRPr="007942B7" w:rsidRDefault="008B7363" w:rsidP="00AC4A6F">
            <w:pPr>
              <w:rPr>
                <w:sz w:val="20"/>
                <w:szCs w:val="20"/>
              </w:rPr>
            </w:pPr>
          </w:p>
        </w:tc>
      </w:tr>
      <w:tr w:rsidR="008B7363" w:rsidRPr="007942B7" w:rsidTr="001C7D84">
        <w:tc>
          <w:tcPr>
            <w:tcW w:w="2093" w:type="dxa"/>
            <w:vMerge/>
          </w:tcPr>
          <w:p w:rsidR="008B7363" w:rsidRPr="007942B7" w:rsidRDefault="008B7363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B7363" w:rsidRPr="007942B7" w:rsidRDefault="008B7363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</w:tcPr>
          <w:p w:rsidR="008B7363" w:rsidRPr="007942B7" w:rsidRDefault="008B7363" w:rsidP="00104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B7363" w:rsidRPr="007942B7" w:rsidRDefault="008B7363" w:rsidP="00BA1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aumentado la publicación en formatos reutilizables</w:t>
            </w:r>
          </w:p>
        </w:tc>
      </w:tr>
      <w:tr w:rsidR="008B7363" w:rsidRPr="007942B7" w:rsidTr="001C7D84">
        <w:tc>
          <w:tcPr>
            <w:tcW w:w="2093" w:type="dxa"/>
            <w:vMerge/>
          </w:tcPr>
          <w:p w:rsidR="008B7363" w:rsidRPr="007942B7" w:rsidRDefault="008B7363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B7363" w:rsidRPr="007942B7" w:rsidRDefault="008B7363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</w:p>
        </w:tc>
        <w:tc>
          <w:tcPr>
            <w:tcW w:w="567" w:type="dxa"/>
          </w:tcPr>
          <w:p w:rsidR="008B7363" w:rsidRPr="007942B7" w:rsidRDefault="008B7363" w:rsidP="00104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B7363" w:rsidRPr="007942B7" w:rsidRDefault="008B7363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No, sigue sin publicarse fecha de revisión o actualización</w:t>
            </w:r>
          </w:p>
        </w:tc>
      </w:tr>
      <w:tr w:rsidR="001C7D84" w:rsidRPr="001C7D84" w:rsidTr="001C7D84">
        <w:tc>
          <w:tcPr>
            <w:tcW w:w="6912" w:type="dxa"/>
            <w:gridSpan w:val="2"/>
          </w:tcPr>
          <w:p w:rsidR="001C7D84" w:rsidRPr="001C7D84" w:rsidRDefault="001C7D84" w:rsidP="001C7D84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</w:tcPr>
          <w:p w:rsidR="001C7D84" w:rsidRPr="001C7D84" w:rsidRDefault="00CE633A" w:rsidP="001C7D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203" w:type="dxa"/>
          </w:tcPr>
          <w:p w:rsidR="001C7D84" w:rsidRPr="001C7D84" w:rsidRDefault="001C7D84" w:rsidP="00AC4A6F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3A1694" w:rsidRDefault="001C7D84" w:rsidP="00BA14E6">
      <w:pPr>
        <w:spacing w:line="276" w:lineRule="auto"/>
        <w:jc w:val="both"/>
      </w:pPr>
      <w:r>
        <w:t xml:space="preserve">De las </w:t>
      </w:r>
      <w:r w:rsidR="00CE633A">
        <w:t>siete</w:t>
      </w:r>
      <w:r>
        <w:t xml:space="preserve"> recomendaciones efectuadas se han aplicado </w:t>
      </w:r>
      <w:r w:rsidR="00CE633A">
        <w:t>dos</w:t>
      </w:r>
      <w:r>
        <w:t xml:space="preserve">, lo que supone un </w:t>
      </w:r>
      <w:r w:rsidR="00CE633A">
        <w:t>28,57</w:t>
      </w:r>
      <w:r>
        <w:t>% del total.</w:t>
      </w:r>
    </w:p>
    <w:p w:rsidR="00DE6F27" w:rsidRDefault="00DE6F27">
      <w:r>
        <w:br w:type="page"/>
      </w:r>
    </w:p>
    <w:p w:rsidR="00FA5AFD" w:rsidRDefault="00FA5AFD" w:rsidP="00AC4A6F"/>
    <w:p w:rsidR="003F6EDC" w:rsidRPr="002D27E4" w:rsidRDefault="005B66AA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D0AC22E" wp14:editId="20C86270">
                <wp:simplePos x="0" y="0"/>
                <wp:positionH relativeFrom="page">
                  <wp:posOffset>-9525</wp:posOffset>
                </wp:positionH>
                <wp:positionV relativeFrom="page">
                  <wp:posOffset>993140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75pt;margin-top:78.2pt;width:630pt;height:13.7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357A5A3" wp14:editId="247A25D9">
                <wp:simplePos x="0" y="0"/>
                <wp:positionH relativeFrom="page">
                  <wp:posOffset>-9525</wp:posOffset>
                </wp:positionH>
                <wp:positionV relativeFrom="page">
                  <wp:posOffset>-3175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95219" w:rsidRPr="00F31BC3" w:rsidRDefault="00195219" w:rsidP="005B66AA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E45BC92" wp14:editId="245FD787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left:0;text-align:left;margin-left:-.75pt;margin-top:-.2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BAho&#10;Qd0AAAAJAQAADwAAAAAAAAAAAAAAAABpBAAAZHJzL2Rvd25yZXYueG1sUEsFBgAAAAAEAAQA8wAA&#10;AHMFAAAAAA==&#10;" fillcolor="#50866c" stroked="f">
                <v:textbox inset=",7.2pt,,7.2pt">
                  <w:txbxContent>
                    <w:p w:rsidR="005B66AA" w:rsidRPr="00F31BC3" w:rsidRDefault="005B66AA" w:rsidP="005B66AA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E45BC92" wp14:editId="245FD787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W w:w="504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995"/>
        <w:gridCol w:w="852"/>
        <w:gridCol w:w="980"/>
        <w:gridCol w:w="625"/>
        <w:gridCol w:w="625"/>
        <w:gridCol w:w="625"/>
        <w:gridCol w:w="638"/>
        <w:gridCol w:w="758"/>
      </w:tblGrid>
      <w:tr w:rsidR="00FA5AFD" w:rsidRPr="00BA3611" w:rsidTr="00FA5AFD">
        <w:trPr>
          <w:trHeight w:val="315"/>
        </w:trPr>
        <w:tc>
          <w:tcPr>
            <w:tcW w:w="215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BA3611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BA3611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BA3611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BA3611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CONTENIDO 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BA3611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BA3611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FORMA </w:t>
            </w:r>
          </w:p>
        </w:tc>
        <w:tc>
          <w:tcPr>
            <w:tcW w:w="163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5AD82"/>
            <w:vAlign w:val="center"/>
            <w:hideMark/>
          </w:tcPr>
          <w:p w:rsidR="00FA5AFD" w:rsidRPr="00BA3611" w:rsidRDefault="00FA5AFD" w:rsidP="00FA5AFD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BA3611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CARACTERISTICAS</w:t>
            </w:r>
          </w:p>
        </w:tc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BA3611" w:rsidRDefault="00FA5AFD" w:rsidP="00FA5AFD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BA3611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TOTAL</w:t>
            </w:r>
          </w:p>
        </w:tc>
      </w:tr>
      <w:tr w:rsidR="00FA5AFD" w:rsidRPr="00BA3611" w:rsidTr="00CC48E8">
        <w:trPr>
          <w:trHeight w:val="1895"/>
        </w:trPr>
        <w:tc>
          <w:tcPr>
            <w:tcW w:w="2151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BA3611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BA3611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BA3611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BA3611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BA3611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BA3611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ESTRUCTURACIÓN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BA3611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BA3611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ACCESIBILIDAD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BA3611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BA3611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CLARIDAD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BA3611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BA3611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REUTILIZACIÓN </w:t>
            </w:r>
          </w:p>
        </w:tc>
        <w:tc>
          <w:tcPr>
            <w:tcW w:w="29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BA3611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BA3611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ACTUALIZACIÓN </w:t>
            </w:r>
          </w:p>
        </w:tc>
        <w:tc>
          <w:tcPr>
            <w:tcW w:w="354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BA3611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FA5AFD" w:rsidRPr="00BA3611" w:rsidTr="00CC48E8">
        <w:trPr>
          <w:trHeight w:val="315"/>
        </w:trPr>
        <w:tc>
          <w:tcPr>
            <w:tcW w:w="5000" w:type="pct"/>
            <w:gridSpan w:val="9"/>
            <w:shd w:val="clear" w:color="000000" w:fill="F2F2F2"/>
            <w:vAlign w:val="center"/>
            <w:hideMark/>
          </w:tcPr>
          <w:p w:rsidR="00FA5AFD" w:rsidRPr="00BA3611" w:rsidRDefault="00FA5AFD" w:rsidP="00FA5AFD">
            <w:pPr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</w:pPr>
            <w:r w:rsidRPr="00BA3611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INSTITUCIONAL, ORGANIZATIVA Y DE PLANIFICACIÓN</w:t>
            </w:r>
          </w:p>
        </w:tc>
      </w:tr>
      <w:tr w:rsidR="00DA36F5" w:rsidRPr="00BA3611" w:rsidTr="00CC48E8">
        <w:trPr>
          <w:trHeight w:val="315"/>
        </w:trPr>
        <w:tc>
          <w:tcPr>
            <w:tcW w:w="2151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DA36F5" w:rsidRPr="00BA3611" w:rsidRDefault="00DA36F5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BA3611">
              <w:rPr>
                <w:rFonts w:eastAsia="Times New Roman" w:cs="Arial"/>
                <w:sz w:val="18"/>
                <w:szCs w:val="18"/>
                <w:lang w:eastAsia="es-ES"/>
              </w:rPr>
              <w:t>Institucional</w:t>
            </w:r>
          </w:p>
        </w:tc>
        <w:tc>
          <w:tcPr>
            <w:tcW w:w="465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DA36F5" w:rsidRPr="00DA36F5" w:rsidRDefault="00DA36F5" w:rsidP="00DA36F5">
            <w:pPr>
              <w:jc w:val="right"/>
              <w:rPr>
                <w:sz w:val="18"/>
                <w:szCs w:val="18"/>
              </w:rPr>
            </w:pPr>
            <w:r w:rsidRPr="00DA36F5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DA36F5" w:rsidRPr="00DA36F5" w:rsidRDefault="00DA36F5" w:rsidP="00DA36F5">
            <w:pPr>
              <w:jc w:val="right"/>
              <w:rPr>
                <w:sz w:val="18"/>
                <w:szCs w:val="18"/>
              </w:rPr>
            </w:pPr>
            <w:r w:rsidRPr="00DA36F5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DA36F5" w:rsidRPr="00DA36F5" w:rsidRDefault="00DA36F5" w:rsidP="00DA36F5">
            <w:pPr>
              <w:jc w:val="right"/>
              <w:rPr>
                <w:sz w:val="18"/>
                <w:szCs w:val="18"/>
              </w:rPr>
            </w:pPr>
            <w:r w:rsidRPr="00DA36F5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DA36F5" w:rsidRPr="00DA36F5" w:rsidRDefault="00DA36F5" w:rsidP="00DA36F5">
            <w:pPr>
              <w:jc w:val="right"/>
              <w:rPr>
                <w:sz w:val="18"/>
                <w:szCs w:val="18"/>
              </w:rPr>
            </w:pPr>
            <w:r w:rsidRPr="00DA36F5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DA36F5" w:rsidRPr="00DA36F5" w:rsidRDefault="00DA36F5" w:rsidP="00DA36F5">
            <w:pPr>
              <w:jc w:val="right"/>
              <w:rPr>
                <w:sz w:val="18"/>
                <w:szCs w:val="18"/>
              </w:rPr>
            </w:pPr>
            <w:r w:rsidRPr="00DA36F5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DA36F5" w:rsidRPr="00DA36F5" w:rsidRDefault="00DA36F5" w:rsidP="00DA36F5">
            <w:pPr>
              <w:jc w:val="right"/>
              <w:rPr>
                <w:sz w:val="18"/>
                <w:szCs w:val="18"/>
              </w:rPr>
            </w:pPr>
            <w:r w:rsidRPr="00DA36F5">
              <w:rPr>
                <w:sz w:val="18"/>
                <w:szCs w:val="18"/>
              </w:rPr>
              <w:t>100,0</w:t>
            </w:r>
          </w:p>
        </w:tc>
        <w:tc>
          <w:tcPr>
            <w:tcW w:w="2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DA36F5" w:rsidRPr="00DA36F5" w:rsidRDefault="00DA36F5" w:rsidP="00DA36F5">
            <w:pPr>
              <w:jc w:val="right"/>
              <w:rPr>
                <w:sz w:val="18"/>
                <w:szCs w:val="18"/>
              </w:rPr>
            </w:pPr>
            <w:r w:rsidRPr="00DA36F5">
              <w:rPr>
                <w:sz w:val="18"/>
                <w:szCs w:val="18"/>
              </w:rPr>
              <w:t>50,0</w:t>
            </w:r>
          </w:p>
        </w:tc>
        <w:tc>
          <w:tcPr>
            <w:tcW w:w="354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DA36F5" w:rsidRPr="00DA36F5" w:rsidRDefault="00DA36F5" w:rsidP="00DA36F5">
            <w:pPr>
              <w:jc w:val="right"/>
              <w:rPr>
                <w:sz w:val="18"/>
                <w:szCs w:val="18"/>
              </w:rPr>
            </w:pPr>
            <w:r w:rsidRPr="00DA36F5">
              <w:rPr>
                <w:sz w:val="18"/>
                <w:szCs w:val="18"/>
              </w:rPr>
              <w:t>93,0</w:t>
            </w:r>
          </w:p>
        </w:tc>
      </w:tr>
      <w:tr w:rsidR="00DA36F5" w:rsidRPr="00BA3611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DA36F5" w:rsidRPr="00BA3611" w:rsidRDefault="00DA36F5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BA3611">
              <w:rPr>
                <w:rFonts w:eastAsia="Times New Roman" w:cs="Arial"/>
                <w:sz w:val="18"/>
                <w:szCs w:val="18"/>
                <w:lang w:eastAsia="es-ES"/>
              </w:rPr>
              <w:t>Organizativa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A36F5" w:rsidRPr="00DA36F5" w:rsidRDefault="00DA36F5" w:rsidP="00DA36F5">
            <w:pPr>
              <w:jc w:val="right"/>
              <w:rPr>
                <w:sz w:val="18"/>
                <w:szCs w:val="18"/>
              </w:rPr>
            </w:pPr>
            <w:r w:rsidRPr="00DA36F5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A36F5" w:rsidRPr="00DA36F5" w:rsidRDefault="00DA36F5" w:rsidP="00DA36F5">
            <w:pPr>
              <w:jc w:val="right"/>
              <w:rPr>
                <w:sz w:val="18"/>
                <w:szCs w:val="18"/>
              </w:rPr>
            </w:pPr>
            <w:r w:rsidRPr="00DA36F5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A36F5" w:rsidRPr="00DA36F5" w:rsidRDefault="00DA36F5" w:rsidP="00DA36F5">
            <w:pPr>
              <w:jc w:val="right"/>
              <w:rPr>
                <w:sz w:val="18"/>
                <w:szCs w:val="18"/>
              </w:rPr>
            </w:pPr>
            <w:r w:rsidRPr="00DA36F5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A36F5" w:rsidRPr="00DA36F5" w:rsidRDefault="00DA36F5" w:rsidP="00DA36F5">
            <w:pPr>
              <w:jc w:val="right"/>
              <w:rPr>
                <w:sz w:val="18"/>
                <w:szCs w:val="18"/>
              </w:rPr>
            </w:pPr>
            <w:r w:rsidRPr="00DA36F5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A36F5" w:rsidRPr="00DA36F5" w:rsidRDefault="00DA36F5" w:rsidP="00DA36F5">
            <w:pPr>
              <w:jc w:val="right"/>
              <w:rPr>
                <w:sz w:val="18"/>
                <w:szCs w:val="18"/>
              </w:rPr>
            </w:pPr>
            <w:r w:rsidRPr="00DA36F5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A36F5" w:rsidRPr="00DA36F5" w:rsidRDefault="00DA36F5" w:rsidP="00DA36F5">
            <w:pPr>
              <w:jc w:val="right"/>
              <w:rPr>
                <w:sz w:val="18"/>
                <w:szCs w:val="18"/>
              </w:rPr>
            </w:pPr>
            <w:r w:rsidRPr="00DA36F5">
              <w:rPr>
                <w:sz w:val="18"/>
                <w:szCs w:val="18"/>
              </w:rPr>
              <w:t>25,0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A36F5" w:rsidRPr="00DA36F5" w:rsidRDefault="00DA36F5" w:rsidP="00DA36F5">
            <w:pPr>
              <w:jc w:val="right"/>
              <w:rPr>
                <w:sz w:val="18"/>
                <w:szCs w:val="18"/>
              </w:rPr>
            </w:pPr>
            <w:r w:rsidRPr="00DA36F5">
              <w:rPr>
                <w:sz w:val="18"/>
                <w:szCs w:val="18"/>
              </w:rPr>
              <w:t>25,0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A36F5" w:rsidRPr="00DA36F5" w:rsidRDefault="00DA36F5" w:rsidP="00DA36F5">
            <w:pPr>
              <w:jc w:val="right"/>
              <w:rPr>
                <w:sz w:val="18"/>
                <w:szCs w:val="18"/>
              </w:rPr>
            </w:pPr>
            <w:r w:rsidRPr="00DA36F5">
              <w:rPr>
                <w:sz w:val="18"/>
                <w:szCs w:val="18"/>
              </w:rPr>
              <w:t>79,0</w:t>
            </w:r>
          </w:p>
        </w:tc>
      </w:tr>
      <w:tr w:rsidR="00DA36F5" w:rsidRPr="00BA3611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right w:val="nil"/>
            </w:tcBorders>
            <w:shd w:val="clear" w:color="auto" w:fill="F5FDFA"/>
            <w:noWrap/>
            <w:hideMark/>
          </w:tcPr>
          <w:p w:rsidR="00DA36F5" w:rsidRPr="00BA3611" w:rsidRDefault="00DA36F5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BA3611">
              <w:rPr>
                <w:rFonts w:eastAsia="Times New Roman" w:cs="Arial"/>
                <w:sz w:val="18"/>
                <w:szCs w:val="18"/>
                <w:lang w:eastAsia="es-ES"/>
              </w:rPr>
              <w:t>Planificación</w:t>
            </w:r>
          </w:p>
        </w:tc>
        <w:tc>
          <w:tcPr>
            <w:tcW w:w="465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DA36F5" w:rsidRPr="00DA36F5" w:rsidRDefault="00DA36F5" w:rsidP="00DA36F5">
            <w:pPr>
              <w:jc w:val="right"/>
              <w:rPr>
                <w:sz w:val="18"/>
                <w:szCs w:val="18"/>
              </w:rPr>
            </w:pPr>
            <w:r w:rsidRPr="00DA36F5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DA36F5" w:rsidRPr="00DA36F5" w:rsidRDefault="00DA36F5" w:rsidP="00DA36F5">
            <w:pPr>
              <w:jc w:val="right"/>
              <w:rPr>
                <w:sz w:val="18"/>
                <w:szCs w:val="18"/>
              </w:rPr>
            </w:pPr>
            <w:r w:rsidRPr="00DA36F5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DA36F5" w:rsidRPr="00DA36F5" w:rsidRDefault="00DA36F5" w:rsidP="00DA36F5">
            <w:pPr>
              <w:jc w:val="right"/>
              <w:rPr>
                <w:sz w:val="18"/>
                <w:szCs w:val="18"/>
              </w:rPr>
            </w:pPr>
            <w:r w:rsidRPr="00DA36F5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DA36F5" w:rsidRPr="00DA36F5" w:rsidRDefault="00DA36F5" w:rsidP="00DA36F5">
            <w:pPr>
              <w:jc w:val="right"/>
              <w:rPr>
                <w:sz w:val="18"/>
                <w:szCs w:val="18"/>
              </w:rPr>
            </w:pPr>
            <w:r w:rsidRPr="00DA36F5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DA36F5" w:rsidRPr="00DA36F5" w:rsidRDefault="00DA36F5" w:rsidP="00DA36F5">
            <w:pPr>
              <w:jc w:val="right"/>
              <w:rPr>
                <w:sz w:val="18"/>
                <w:szCs w:val="18"/>
              </w:rPr>
            </w:pPr>
            <w:r w:rsidRPr="00DA36F5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DA36F5" w:rsidRPr="00DA36F5" w:rsidRDefault="00DA36F5" w:rsidP="00DA36F5">
            <w:pPr>
              <w:jc w:val="right"/>
              <w:rPr>
                <w:sz w:val="18"/>
                <w:szCs w:val="18"/>
              </w:rPr>
            </w:pPr>
            <w:r w:rsidRPr="00DA36F5">
              <w:rPr>
                <w:sz w:val="18"/>
                <w:szCs w:val="18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DA36F5" w:rsidRPr="00DA36F5" w:rsidRDefault="00DA36F5" w:rsidP="00DA36F5">
            <w:pPr>
              <w:jc w:val="right"/>
              <w:rPr>
                <w:sz w:val="18"/>
                <w:szCs w:val="18"/>
              </w:rPr>
            </w:pPr>
            <w:r w:rsidRPr="00DA36F5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DA36F5" w:rsidRPr="00DA36F5" w:rsidRDefault="00DA36F5" w:rsidP="00DA36F5">
            <w:pPr>
              <w:jc w:val="right"/>
              <w:rPr>
                <w:sz w:val="18"/>
                <w:szCs w:val="18"/>
              </w:rPr>
            </w:pPr>
            <w:r w:rsidRPr="00DA36F5">
              <w:rPr>
                <w:sz w:val="18"/>
                <w:szCs w:val="18"/>
              </w:rPr>
              <w:t>100,0</w:t>
            </w:r>
          </w:p>
        </w:tc>
      </w:tr>
      <w:tr w:rsidR="00DA36F5" w:rsidRPr="00BA3611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DA36F5" w:rsidRPr="00BA3611" w:rsidRDefault="00DA36F5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BA3611">
              <w:rPr>
                <w:rFonts w:eastAsia="Times New Roman" w:cs="Arial"/>
                <w:sz w:val="18"/>
                <w:szCs w:val="18"/>
                <w:lang w:eastAsia="es-ES"/>
              </w:rPr>
              <w:t>Registro de Actividades de Tratamiento</w:t>
            </w:r>
          </w:p>
        </w:tc>
        <w:tc>
          <w:tcPr>
            <w:tcW w:w="465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DA36F5" w:rsidRPr="00DA36F5" w:rsidRDefault="00DA36F5" w:rsidP="00DA36F5">
            <w:pPr>
              <w:jc w:val="right"/>
              <w:rPr>
                <w:sz w:val="18"/>
                <w:szCs w:val="18"/>
              </w:rPr>
            </w:pPr>
            <w:r w:rsidRPr="00DA36F5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DA36F5" w:rsidRPr="00DA36F5" w:rsidRDefault="00895F9C" w:rsidP="00DA36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A36F5" w:rsidRPr="00DA36F5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DA36F5" w:rsidRPr="00DA36F5" w:rsidRDefault="00DA36F5" w:rsidP="00DA36F5">
            <w:pPr>
              <w:jc w:val="right"/>
              <w:rPr>
                <w:sz w:val="18"/>
                <w:szCs w:val="18"/>
              </w:rPr>
            </w:pPr>
            <w:r w:rsidRPr="00DA36F5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DA36F5" w:rsidRPr="00DA36F5" w:rsidRDefault="00DA36F5" w:rsidP="00DA36F5">
            <w:pPr>
              <w:jc w:val="right"/>
              <w:rPr>
                <w:sz w:val="18"/>
                <w:szCs w:val="18"/>
              </w:rPr>
            </w:pPr>
            <w:r w:rsidRPr="00DA36F5">
              <w:rPr>
                <w:sz w:val="18"/>
                <w:szCs w:val="18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DA36F5" w:rsidRPr="00DA36F5" w:rsidRDefault="00DA36F5" w:rsidP="00DA36F5">
            <w:pPr>
              <w:jc w:val="right"/>
              <w:rPr>
                <w:sz w:val="18"/>
                <w:szCs w:val="18"/>
              </w:rPr>
            </w:pPr>
            <w:r w:rsidRPr="00DA36F5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DA36F5" w:rsidRPr="00DA36F5" w:rsidRDefault="00DA36F5" w:rsidP="00DA36F5">
            <w:pPr>
              <w:jc w:val="right"/>
              <w:rPr>
                <w:sz w:val="18"/>
                <w:szCs w:val="18"/>
              </w:rPr>
            </w:pPr>
            <w:r w:rsidRPr="00DA36F5">
              <w:rPr>
                <w:sz w:val="18"/>
                <w:szCs w:val="18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DA36F5" w:rsidRPr="00DA36F5" w:rsidRDefault="00DA36F5" w:rsidP="00DA36F5">
            <w:pPr>
              <w:jc w:val="right"/>
              <w:rPr>
                <w:sz w:val="18"/>
                <w:szCs w:val="18"/>
              </w:rPr>
            </w:pPr>
            <w:r w:rsidRPr="00DA36F5">
              <w:rPr>
                <w:sz w:val="18"/>
                <w:szCs w:val="18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DA36F5" w:rsidRPr="00DA36F5" w:rsidRDefault="00895F9C" w:rsidP="00DA36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  <w:r w:rsidR="00DA36F5" w:rsidRPr="00DA36F5">
              <w:rPr>
                <w:sz w:val="18"/>
                <w:szCs w:val="18"/>
              </w:rPr>
              <w:t>,0</w:t>
            </w:r>
          </w:p>
        </w:tc>
      </w:tr>
      <w:tr w:rsidR="00DA36F5" w:rsidRPr="00DA36F5" w:rsidTr="00DA36F5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DA36F5" w:rsidRPr="00BA3611" w:rsidRDefault="00DA36F5" w:rsidP="00FA5AFD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BA3611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IOP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A36F5" w:rsidRPr="00DA36F5" w:rsidRDefault="00DA36F5" w:rsidP="00DA36F5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DA36F5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A36F5" w:rsidRPr="00DA36F5" w:rsidRDefault="00895F9C" w:rsidP="00DA36F5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10</w:t>
            </w:r>
            <w:r w:rsidR="00DA36F5" w:rsidRPr="00DA36F5">
              <w:rPr>
                <w:b/>
                <w:color w:val="FFFFFF" w:themeColor="background1"/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A36F5" w:rsidRPr="00DA36F5" w:rsidRDefault="00DA36F5" w:rsidP="00DA36F5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DA36F5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A36F5" w:rsidRPr="00DA36F5" w:rsidRDefault="00DA36F5" w:rsidP="00DA36F5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DA36F5">
              <w:rPr>
                <w:b/>
                <w:color w:val="FFFFFF" w:themeColor="background1"/>
                <w:sz w:val="18"/>
                <w:szCs w:val="18"/>
              </w:rPr>
              <w:t>90,0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A36F5" w:rsidRPr="00DA36F5" w:rsidRDefault="00DA36F5" w:rsidP="00DA36F5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DA36F5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A36F5" w:rsidRPr="00DA36F5" w:rsidRDefault="00DA36F5" w:rsidP="00DA36F5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DA36F5">
              <w:rPr>
                <w:b/>
                <w:color w:val="FFFFFF" w:themeColor="background1"/>
                <w:sz w:val="18"/>
                <w:szCs w:val="18"/>
              </w:rPr>
              <w:t>60,0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A36F5" w:rsidRPr="00DA36F5" w:rsidRDefault="00DA36F5" w:rsidP="00DA36F5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DA36F5">
              <w:rPr>
                <w:b/>
                <w:color w:val="FFFFFF" w:themeColor="background1"/>
                <w:sz w:val="18"/>
                <w:szCs w:val="18"/>
              </w:rPr>
              <w:t>50,0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A36F5" w:rsidRPr="00DA36F5" w:rsidRDefault="00DA36F5" w:rsidP="00895F9C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DA36F5">
              <w:rPr>
                <w:b/>
                <w:color w:val="FFFFFF" w:themeColor="background1"/>
                <w:sz w:val="18"/>
                <w:szCs w:val="18"/>
              </w:rPr>
              <w:t>8</w:t>
            </w:r>
            <w:r w:rsidR="00895F9C">
              <w:rPr>
                <w:b/>
                <w:color w:val="FFFFFF" w:themeColor="background1"/>
                <w:sz w:val="18"/>
                <w:szCs w:val="18"/>
              </w:rPr>
              <w:t>6</w:t>
            </w:r>
            <w:r w:rsidRPr="00DA36F5">
              <w:rPr>
                <w:b/>
                <w:color w:val="FFFFFF" w:themeColor="background1"/>
                <w:sz w:val="18"/>
                <w:szCs w:val="18"/>
              </w:rPr>
              <w:t>,0</w:t>
            </w:r>
          </w:p>
        </w:tc>
      </w:tr>
      <w:tr w:rsidR="00FA5AFD" w:rsidRPr="00BA3611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FA5AFD" w:rsidRPr="00BA3611" w:rsidRDefault="00FA5AFD" w:rsidP="00FA5AFD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A361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INFORMACIÓN DE RELEVANCIA JURÍDICA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FA5AFD" w:rsidRPr="00BA3611" w:rsidRDefault="00FA5AFD" w:rsidP="00CC48E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BA3611" w:rsidRDefault="00FA5AFD" w:rsidP="00CC48E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FA5AFD" w:rsidRPr="00BA3611" w:rsidRDefault="00FA5AFD" w:rsidP="00CC48E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FA5AFD" w:rsidRPr="00BA3611" w:rsidRDefault="00FA5AFD" w:rsidP="00CC48E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FA5AFD" w:rsidRPr="00BA3611" w:rsidRDefault="00FA5AFD" w:rsidP="00CC48E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FA5AFD" w:rsidRPr="00BA3611" w:rsidRDefault="00FA5AFD" w:rsidP="00CC48E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FA5AFD" w:rsidRPr="00BA3611" w:rsidRDefault="00FA5AFD" w:rsidP="00CC48E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FA5AFD" w:rsidRPr="00BA3611" w:rsidRDefault="00FA5AFD" w:rsidP="00BA3611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DA36F5" w:rsidRPr="00BA3611" w:rsidTr="00DA36F5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DA36F5" w:rsidRPr="00BA3611" w:rsidRDefault="00DA36F5" w:rsidP="00FA5AFD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BA3611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IRJ</w:t>
            </w:r>
          </w:p>
        </w:tc>
        <w:tc>
          <w:tcPr>
            <w:tcW w:w="284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A36F5" w:rsidRPr="00BA3611" w:rsidRDefault="00DA36F5" w:rsidP="00DA36F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NO APLICABLE</w:t>
            </w:r>
          </w:p>
        </w:tc>
      </w:tr>
      <w:tr w:rsidR="00CC48E8" w:rsidRPr="00BA3611" w:rsidTr="00CC48E8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CC48E8" w:rsidRPr="00BA3611" w:rsidRDefault="00CC48E8" w:rsidP="00BA3611">
            <w:pPr>
              <w:rPr>
                <w:b/>
                <w:sz w:val="18"/>
                <w:szCs w:val="18"/>
              </w:rPr>
            </w:pPr>
            <w:r w:rsidRPr="00BA3611">
              <w:rPr>
                <w:rFonts w:eastAsia="Times New Roman" w:cs="Arial"/>
                <w:b/>
                <w:sz w:val="18"/>
                <w:szCs w:val="18"/>
                <w:lang w:eastAsia="es-ES"/>
              </w:rPr>
              <w:t>INFORMACIÓN ECONÓMICA, PRESUPUESTARIA Y ESTADÍSTICA</w:t>
            </w:r>
          </w:p>
        </w:tc>
      </w:tr>
      <w:tr w:rsidR="0030264F" w:rsidRPr="0030264F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30264F" w:rsidRPr="0030264F" w:rsidRDefault="0030264F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bookmarkStart w:id="1" w:name="RANGE!C12"/>
            <w:r w:rsidRPr="0030264F">
              <w:rPr>
                <w:rFonts w:eastAsia="Times New Roman" w:cs="Arial"/>
                <w:sz w:val="18"/>
                <w:szCs w:val="18"/>
                <w:lang w:eastAsia="es-ES"/>
              </w:rPr>
              <w:t>Contratos</w:t>
            </w:r>
            <w:bookmarkEnd w:id="1"/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0264F" w:rsidRPr="0030264F" w:rsidRDefault="00195219" w:rsidP="003026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  <w:r w:rsidR="0030264F" w:rsidRPr="0030264F">
              <w:rPr>
                <w:sz w:val="18"/>
                <w:szCs w:val="18"/>
              </w:rPr>
              <w:t>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0264F" w:rsidRPr="0030264F" w:rsidRDefault="00195219" w:rsidP="0030264F">
            <w:pPr>
              <w:jc w:val="right"/>
              <w:rPr>
                <w:sz w:val="18"/>
                <w:szCs w:val="18"/>
              </w:rPr>
            </w:pPr>
            <w:r w:rsidRPr="00195219">
              <w:rPr>
                <w:sz w:val="18"/>
                <w:szCs w:val="18"/>
              </w:rPr>
              <w:t>67</w:t>
            </w:r>
            <w:r w:rsidR="0030264F" w:rsidRPr="0030264F">
              <w:rPr>
                <w:sz w:val="18"/>
                <w:szCs w:val="18"/>
              </w:rPr>
              <w:t>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0264F" w:rsidRPr="0030264F" w:rsidRDefault="00195219" w:rsidP="0030264F">
            <w:pPr>
              <w:jc w:val="right"/>
              <w:rPr>
                <w:sz w:val="18"/>
                <w:szCs w:val="18"/>
              </w:rPr>
            </w:pPr>
            <w:r w:rsidRPr="00195219">
              <w:rPr>
                <w:sz w:val="18"/>
                <w:szCs w:val="18"/>
              </w:rPr>
              <w:t>67</w:t>
            </w:r>
            <w:r w:rsidR="0030264F" w:rsidRPr="0030264F">
              <w:rPr>
                <w:sz w:val="18"/>
                <w:szCs w:val="18"/>
              </w:rPr>
              <w:t>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0264F" w:rsidRPr="0030264F" w:rsidRDefault="00195219" w:rsidP="0030264F">
            <w:pPr>
              <w:jc w:val="right"/>
              <w:rPr>
                <w:sz w:val="18"/>
                <w:szCs w:val="18"/>
              </w:rPr>
            </w:pPr>
            <w:r w:rsidRPr="00195219">
              <w:rPr>
                <w:sz w:val="18"/>
                <w:szCs w:val="18"/>
              </w:rPr>
              <w:t>67</w:t>
            </w:r>
            <w:r w:rsidR="0030264F" w:rsidRPr="0030264F">
              <w:rPr>
                <w:sz w:val="18"/>
                <w:szCs w:val="18"/>
              </w:rPr>
              <w:t>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0264F" w:rsidRPr="0030264F" w:rsidRDefault="00195219" w:rsidP="0030264F">
            <w:pPr>
              <w:jc w:val="right"/>
              <w:rPr>
                <w:sz w:val="18"/>
                <w:szCs w:val="18"/>
              </w:rPr>
            </w:pPr>
            <w:r w:rsidRPr="00195219">
              <w:rPr>
                <w:sz w:val="18"/>
                <w:szCs w:val="18"/>
              </w:rPr>
              <w:t>67</w:t>
            </w:r>
            <w:r w:rsidR="0030264F" w:rsidRPr="0030264F">
              <w:rPr>
                <w:sz w:val="18"/>
                <w:szCs w:val="18"/>
              </w:rPr>
              <w:t>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0264F" w:rsidRPr="0030264F" w:rsidRDefault="00195219" w:rsidP="0030264F">
            <w:pPr>
              <w:jc w:val="right"/>
              <w:rPr>
                <w:sz w:val="18"/>
                <w:szCs w:val="18"/>
              </w:rPr>
            </w:pPr>
            <w:r w:rsidRPr="00195219">
              <w:rPr>
                <w:sz w:val="18"/>
                <w:szCs w:val="18"/>
              </w:rPr>
              <w:t>67</w:t>
            </w:r>
            <w:r w:rsidR="0030264F" w:rsidRPr="0030264F">
              <w:rPr>
                <w:sz w:val="18"/>
                <w:szCs w:val="18"/>
              </w:rPr>
              <w:t>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0264F" w:rsidRPr="0030264F" w:rsidRDefault="00195219" w:rsidP="0030264F">
            <w:pPr>
              <w:jc w:val="right"/>
              <w:rPr>
                <w:sz w:val="18"/>
                <w:szCs w:val="18"/>
              </w:rPr>
            </w:pPr>
            <w:r w:rsidRPr="00195219">
              <w:rPr>
                <w:sz w:val="18"/>
                <w:szCs w:val="18"/>
              </w:rPr>
              <w:t>67</w:t>
            </w:r>
            <w:r w:rsidR="0030264F" w:rsidRPr="0030264F">
              <w:rPr>
                <w:sz w:val="18"/>
                <w:szCs w:val="18"/>
              </w:rPr>
              <w:t>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0264F" w:rsidRPr="0030264F" w:rsidRDefault="00195219" w:rsidP="0030264F">
            <w:pPr>
              <w:jc w:val="right"/>
              <w:rPr>
                <w:sz w:val="18"/>
                <w:szCs w:val="18"/>
              </w:rPr>
            </w:pPr>
            <w:r w:rsidRPr="00195219">
              <w:rPr>
                <w:sz w:val="18"/>
                <w:szCs w:val="18"/>
              </w:rPr>
              <w:t>67</w:t>
            </w:r>
            <w:r w:rsidR="0030264F" w:rsidRPr="0030264F">
              <w:rPr>
                <w:sz w:val="18"/>
                <w:szCs w:val="18"/>
              </w:rPr>
              <w:t>,0</w:t>
            </w:r>
          </w:p>
        </w:tc>
      </w:tr>
      <w:tr w:rsidR="0030264F" w:rsidRPr="0030264F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30264F" w:rsidRPr="0030264F" w:rsidRDefault="0030264F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0264F">
              <w:rPr>
                <w:rFonts w:eastAsia="Times New Roman" w:cs="Arial"/>
                <w:sz w:val="18"/>
                <w:szCs w:val="18"/>
                <w:lang w:eastAsia="es-ES"/>
              </w:rPr>
              <w:t>Convenios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0264F" w:rsidRPr="0030264F" w:rsidRDefault="0030264F" w:rsidP="0030264F">
            <w:pPr>
              <w:jc w:val="right"/>
              <w:rPr>
                <w:sz w:val="18"/>
                <w:szCs w:val="18"/>
              </w:rPr>
            </w:pPr>
            <w:r w:rsidRPr="0030264F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0264F" w:rsidRPr="0030264F" w:rsidRDefault="00195219" w:rsidP="003026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30264F" w:rsidRPr="0030264F">
              <w:rPr>
                <w:sz w:val="18"/>
                <w:szCs w:val="18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0264F" w:rsidRPr="0030264F" w:rsidRDefault="0030264F" w:rsidP="0030264F">
            <w:pPr>
              <w:jc w:val="right"/>
              <w:rPr>
                <w:sz w:val="18"/>
                <w:szCs w:val="18"/>
              </w:rPr>
            </w:pPr>
            <w:r w:rsidRPr="0030264F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0264F" w:rsidRPr="0030264F" w:rsidRDefault="0030264F" w:rsidP="0030264F">
            <w:pPr>
              <w:jc w:val="right"/>
              <w:rPr>
                <w:sz w:val="18"/>
                <w:szCs w:val="18"/>
              </w:rPr>
            </w:pPr>
            <w:r w:rsidRPr="0030264F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0264F" w:rsidRPr="0030264F" w:rsidRDefault="0030264F" w:rsidP="0030264F">
            <w:pPr>
              <w:jc w:val="right"/>
              <w:rPr>
                <w:sz w:val="18"/>
                <w:szCs w:val="18"/>
              </w:rPr>
            </w:pPr>
            <w:r w:rsidRPr="0030264F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0264F" w:rsidRPr="0030264F" w:rsidRDefault="0030264F" w:rsidP="0030264F">
            <w:pPr>
              <w:jc w:val="right"/>
              <w:rPr>
                <w:sz w:val="18"/>
                <w:szCs w:val="18"/>
              </w:rPr>
            </w:pPr>
            <w:r w:rsidRPr="0030264F">
              <w:rPr>
                <w:sz w:val="18"/>
                <w:szCs w:val="18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0264F" w:rsidRPr="0030264F" w:rsidRDefault="0030264F" w:rsidP="0030264F">
            <w:pPr>
              <w:jc w:val="right"/>
              <w:rPr>
                <w:sz w:val="18"/>
                <w:szCs w:val="18"/>
              </w:rPr>
            </w:pPr>
            <w:r w:rsidRPr="0030264F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0264F" w:rsidRPr="0030264F" w:rsidRDefault="00195219" w:rsidP="003026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  <w:r w:rsidR="0030264F" w:rsidRPr="0030264F">
              <w:rPr>
                <w:sz w:val="18"/>
                <w:szCs w:val="18"/>
              </w:rPr>
              <w:t>,0</w:t>
            </w:r>
          </w:p>
        </w:tc>
      </w:tr>
      <w:tr w:rsidR="008A03D6" w:rsidRPr="0030264F" w:rsidTr="008A03D6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8A03D6" w:rsidRPr="0030264F" w:rsidRDefault="008A03D6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0264F">
              <w:rPr>
                <w:rFonts w:eastAsia="Times New Roman" w:cs="Arial"/>
                <w:sz w:val="18"/>
                <w:szCs w:val="18"/>
                <w:lang w:eastAsia="es-ES"/>
              </w:rPr>
              <w:t>Encomiendas</w:t>
            </w:r>
          </w:p>
        </w:tc>
        <w:tc>
          <w:tcPr>
            <w:tcW w:w="284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8A03D6" w:rsidRPr="0030264F" w:rsidRDefault="00195219" w:rsidP="008A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 ACTIVIDAD</w:t>
            </w:r>
          </w:p>
        </w:tc>
      </w:tr>
      <w:tr w:rsidR="00195219" w:rsidRPr="0030264F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95219" w:rsidRPr="0030264F" w:rsidRDefault="00195219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0264F">
              <w:rPr>
                <w:rFonts w:eastAsia="Times New Roman" w:cs="Arial"/>
                <w:sz w:val="18"/>
                <w:szCs w:val="18"/>
                <w:lang w:eastAsia="es-ES"/>
              </w:rPr>
              <w:t>Subvenciones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95219" w:rsidRPr="0030264F" w:rsidRDefault="00195219" w:rsidP="003026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95219" w:rsidRPr="00195219" w:rsidRDefault="00195219" w:rsidP="00195219">
            <w:pPr>
              <w:jc w:val="right"/>
              <w:rPr>
                <w:sz w:val="18"/>
                <w:szCs w:val="18"/>
              </w:rPr>
            </w:pPr>
            <w:r w:rsidRPr="00195219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95219" w:rsidRPr="00195219" w:rsidRDefault="00195219" w:rsidP="00195219">
            <w:pPr>
              <w:jc w:val="right"/>
              <w:rPr>
                <w:sz w:val="18"/>
                <w:szCs w:val="18"/>
              </w:rPr>
            </w:pPr>
            <w:r w:rsidRPr="00195219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95219" w:rsidRPr="00195219" w:rsidRDefault="00195219" w:rsidP="00195219">
            <w:pPr>
              <w:jc w:val="right"/>
              <w:rPr>
                <w:sz w:val="18"/>
                <w:szCs w:val="18"/>
              </w:rPr>
            </w:pPr>
            <w:r w:rsidRPr="00195219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95219" w:rsidRPr="00195219" w:rsidRDefault="00195219" w:rsidP="00195219">
            <w:pPr>
              <w:jc w:val="right"/>
              <w:rPr>
                <w:sz w:val="18"/>
                <w:szCs w:val="18"/>
              </w:rPr>
            </w:pPr>
            <w:r w:rsidRPr="00195219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95219" w:rsidRPr="00195219" w:rsidRDefault="00195219" w:rsidP="00195219">
            <w:pPr>
              <w:jc w:val="right"/>
              <w:rPr>
                <w:sz w:val="18"/>
                <w:szCs w:val="18"/>
              </w:rPr>
            </w:pPr>
            <w:r w:rsidRPr="00195219">
              <w:rPr>
                <w:sz w:val="18"/>
                <w:szCs w:val="18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95219" w:rsidRPr="00195219" w:rsidRDefault="00195219" w:rsidP="00195219">
            <w:pPr>
              <w:jc w:val="right"/>
              <w:rPr>
                <w:sz w:val="18"/>
                <w:szCs w:val="18"/>
              </w:rPr>
            </w:pPr>
            <w:r w:rsidRPr="00195219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95219" w:rsidRPr="00195219" w:rsidRDefault="00195219" w:rsidP="00195219">
            <w:pPr>
              <w:jc w:val="right"/>
              <w:rPr>
                <w:sz w:val="18"/>
                <w:szCs w:val="18"/>
              </w:rPr>
            </w:pPr>
            <w:r w:rsidRPr="00195219">
              <w:rPr>
                <w:sz w:val="18"/>
                <w:szCs w:val="18"/>
              </w:rPr>
              <w:t>100,0</w:t>
            </w:r>
          </w:p>
        </w:tc>
      </w:tr>
      <w:tr w:rsidR="0030264F" w:rsidRPr="0030264F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30264F" w:rsidRPr="0030264F" w:rsidRDefault="0030264F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0264F">
              <w:rPr>
                <w:rFonts w:eastAsia="Times New Roman" w:cs="Arial"/>
                <w:sz w:val="18"/>
                <w:szCs w:val="18"/>
                <w:lang w:eastAsia="es-ES"/>
              </w:rPr>
              <w:t>Presupuestos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30264F" w:rsidRPr="0030264F" w:rsidRDefault="0030264F" w:rsidP="0030264F">
            <w:pPr>
              <w:jc w:val="right"/>
              <w:rPr>
                <w:sz w:val="18"/>
                <w:szCs w:val="18"/>
              </w:rPr>
            </w:pPr>
            <w:r w:rsidRPr="0030264F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0264F" w:rsidRPr="0030264F" w:rsidRDefault="00753E4E" w:rsidP="003026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0264F" w:rsidRPr="0030264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0264F" w:rsidRPr="0030264F" w:rsidRDefault="0030264F" w:rsidP="0030264F">
            <w:pPr>
              <w:jc w:val="right"/>
              <w:rPr>
                <w:sz w:val="18"/>
                <w:szCs w:val="18"/>
              </w:rPr>
            </w:pPr>
            <w:r w:rsidRPr="0030264F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0264F" w:rsidRPr="0030264F" w:rsidRDefault="0030264F" w:rsidP="0030264F">
            <w:pPr>
              <w:jc w:val="right"/>
              <w:rPr>
                <w:sz w:val="18"/>
                <w:szCs w:val="18"/>
              </w:rPr>
            </w:pPr>
            <w:r w:rsidRPr="0030264F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0264F" w:rsidRPr="0030264F" w:rsidRDefault="0030264F" w:rsidP="0030264F">
            <w:pPr>
              <w:jc w:val="right"/>
              <w:rPr>
                <w:sz w:val="18"/>
                <w:szCs w:val="18"/>
              </w:rPr>
            </w:pPr>
            <w:r w:rsidRPr="0030264F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0264F" w:rsidRPr="0030264F" w:rsidRDefault="00753E4E" w:rsidP="003026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0264F" w:rsidRPr="0030264F">
              <w:rPr>
                <w:sz w:val="18"/>
                <w:szCs w:val="18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0264F" w:rsidRPr="0030264F" w:rsidRDefault="00753E4E" w:rsidP="003026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0264F" w:rsidRPr="0030264F">
              <w:rPr>
                <w:sz w:val="18"/>
                <w:szCs w:val="18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0264F" w:rsidRPr="0030264F" w:rsidRDefault="00195219" w:rsidP="003026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  <w:r w:rsidR="0030264F" w:rsidRPr="0030264F">
              <w:rPr>
                <w:sz w:val="18"/>
                <w:szCs w:val="18"/>
              </w:rPr>
              <w:t>,0</w:t>
            </w:r>
          </w:p>
        </w:tc>
      </w:tr>
      <w:tr w:rsidR="0030264F" w:rsidRPr="0030264F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30264F" w:rsidRPr="0030264F" w:rsidRDefault="0030264F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0264F">
              <w:rPr>
                <w:rFonts w:eastAsia="Times New Roman" w:cs="Arial"/>
                <w:sz w:val="18"/>
                <w:szCs w:val="18"/>
                <w:lang w:eastAsia="es-ES"/>
              </w:rPr>
              <w:t>Cuentas anuales e Informes de Auditoría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30264F" w:rsidRPr="0030264F" w:rsidRDefault="0030264F" w:rsidP="0030264F">
            <w:pPr>
              <w:jc w:val="right"/>
              <w:rPr>
                <w:sz w:val="18"/>
                <w:szCs w:val="18"/>
              </w:rPr>
            </w:pPr>
            <w:r w:rsidRPr="0030264F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0264F" w:rsidRPr="0030264F" w:rsidRDefault="00753E4E" w:rsidP="003026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30264F" w:rsidRPr="0030264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0264F" w:rsidRPr="0030264F" w:rsidRDefault="0030264F" w:rsidP="0030264F">
            <w:pPr>
              <w:jc w:val="right"/>
              <w:rPr>
                <w:sz w:val="18"/>
                <w:szCs w:val="18"/>
              </w:rPr>
            </w:pPr>
            <w:r w:rsidRPr="0030264F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0264F" w:rsidRPr="0030264F" w:rsidRDefault="0030264F" w:rsidP="0030264F">
            <w:pPr>
              <w:jc w:val="right"/>
              <w:rPr>
                <w:sz w:val="18"/>
                <w:szCs w:val="18"/>
              </w:rPr>
            </w:pPr>
            <w:r w:rsidRPr="0030264F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0264F" w:rsidRPr="0030264F" w:rsidRDefault="0030264F" w:rsidP="0030264F">
            <w:pPr>
              <w:jc w:val="right"/>
              <w:rPr>
                <w:sz w:val="18"/>
                <w:szCs w:val="18"/>
              </w:rPr>
            </w:pPr>
            <w:r w:rsidRPr="0030264F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0264F" w:rsidRPr="0030264F" w:rsidRDefault="00753E4E" w:rsidP="00753E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30264F" w:rsidRPr="0030264F">
              <w:rPr>
                <w:sz w:val="18"/>
                <w:szCs w:val="18"/>
              </w:rPr>
              <w:t>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0264F" w:rsidRPr="0030264F" w:rsidRDefault="00753E4E" w:rsidP="00753E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30264F" w:rsidRPr="0030264F">
              <w:rPr>
                <w:sz w:val="18"/>
                <w:szCs w:val="18"/>
              </w:rPr>
              <w:t>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0264F" w:rsidRPr="0030264F" w:rsidRDefault="00753E4E" w:rsidP="003026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30264F" w:rsidRPr="0030264F">
              <w:rPr>
                <w:sz w:val="18"/>
                <w:szCs w:val="18"/>
              </w:rPr>
              <w:t>,0</w:t>
            </w:r>
          </w:p>
        </w:tc>
      </w:tr>
      <w:tr w:rsidR="0030264F" w:rsidRPr="0030264F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30264F" w:rsidRPr="0030264F" w:rsidRDefault="0030264F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0264F">
              <w:rPr>
                <w:rFonts w:eastAsia="Times New Roman" w:cs="Arial"/>
                <w:sz w:val="18"/>
                <w:szCs w:val="18"/>
                <w:lang w:eastAsia="es-ES"/>
              </w:rPr>
              <w:t>Retribuciones e Indemnizaciones Altos Cargos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30264F" w:rsidRPr="0030264F" w:rsidRDefault="0030264F" w:rsidP="0030264F">
            <w:pPr>
              <w:jc w:val="right"/>
              <w:rPr>
                <w:sz w:val="18"/>
                <w:szCs w:val="18"/>
              </w:rPr>
            </w:pPr>
            <w:r w:rsidRPr="0030264F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0264F" w:rsidRPr="0030264F" w:rsidRDefault="00753E4E" w:rsidP="003026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30264F" w:rsidRPr="0030264F">
              <w:rPr>
                <w:sz w:val="18"/>
                <w:szCs w:val="18"/>
              </w:rPr>
              <w:t>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0264F" w:rsidRPr="0030264F" w:rsidRDefault="0030264F" w:rsidP="0030264F">
            <w:pPr>
              <w:jc w:val="right"/>
              <w:rPr>
                <w:sz w:val="18"/>
                <w:szCs w:val="18"/>
              </w:rPr>
            </w:pPr>
            <w:r w:rsidRPr="0030264F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0264F" w:rsidRPr="0030264F" w:rsidRDefault="0030264F" w:rsidP="0030264F">
            <w:pPr>
              <w:jc w:val="right"/>
              <w:rPr>
                <w:sz w:val="18"/>
                <w:szCs w:val="18"/>
              </w:rPr>
            </w:pPr>
            <w:r w:rsidRPr="0030264F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0264F" w:rsidRPr="0030264F" w:rsidRDefault="0030264F" w:rsidP="0030264F">
            <w:pPr>
              <w:jc w:val="right"/>
              <w:rPr>
                <w:sz w:val="18"/>
                <w:szCs w:val="18"/>
              </w:rPr>
            </w:pPr>
            <w:r w:rsidRPr="0030264F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0264F" w:rsidRPr="0030264F" w:rsidRDefault="00753E4E" w:rsidP="003026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0264F" w:rsidRPr="0030264F">
              <w:rPr>
                <w:sz w:val="18"/>
                <w:szCs w:val="18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0264F" w:rsidRPr="0030264F" w:rsidRDefault="0030264F" w:rsidP="0030264F">
            <w:pPr>
              <w:jc w:val="right"/>
              <w:rPr>
                <w:sz w:val="18"/>
                <w:szCs w:val="18"/>
              </w:rPr>
            </w:pPr>
            <w:r w:rsidRPr="0030264F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0264F" w:rsidRPr="0030264F" w:rsidRDefault="00753E4E" w:rsidP="003026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  <w:r w:rsidR="0030264F" w:rsidRPr="0030264F">
              <w:rPr>
                <w:sz w:val="18"/>
                <w:szCs w:val="18"/>
              </w:rPr>
              <w:t>,0</w:t>
            </w:r>
          </w:p>
        </w:tc>
      </w:tr>
      <w:tr w:rsidR="0030264F" w:rsidRPr="0030264F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30264F" w:rsidRPr="0030264F" w:rsidRDefault="0030264F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0264F">
              <w:rPr>
                <w:rFonts w:eastAsia="Times New Roman" w:cs="Arial"/>
                <w:sz w:val="18"/>
                <w:szCs w:val="18"/>
                <w:lang w:eastAsia="es-ES"/>
              </w:rPr>
              <w:t>Compatibilidades empleados y autorizaciones actividad privada Altos Cargos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30264F" w:rsidRPr="0030264F" w:rsidRDefault="0030264F" w:rsidP="0030264F">
            <w:pPr>
              <w:jc w:val="right"/>
              <w:rPr>
                <w:sz w:val="18"/>
                <w:szCs w:val="18"/>
              </w:rPr>
            </w:pPr>
            <w:r w:rsidRPr="0030264F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0264F" w:rsidRPr="0030264F" w:rsidRDefault="0030264F" w:rsidP="0030264F">
            <w:pPr>
              <w:jc w:val="right"/>
              <w:rPr>
                <w:sz w:val="18"/>
                <w:szCs w:val="18"/>
              </w:rPr>
            </w:pPr>
            <w:r w:rsidRPr="0030264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0264F" w:rsidRPr="0030264F" w:rsidRDefault="0030264F" w:rsidP="0030264F">
            <w:pPr>
              <w:jc w:val="right"/>
              <w:rPr>
                <w:sz w:val="18"/>
                <w:szCs w:val="18"/>
              </w:rPr>
            </w:pPr>
            <w:r w:rsidRPr="0030264F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0264F" w:rsidRPr="0030264F" w:rsidRDefault="0030264F" w:rsidP="0030264F">
            <w:pPr>
              <w:jc w:val="right"/>
              <w:rPr>
                <w:sz w:val="18"/>
                <w:szCs w:val="18"/>
              </w:rPr>
            </w:pPr>
            <w:r w:rsidRPr="0030264F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0264F" w:rsidRPr="0030264F" w:rsidRDefault="0030264F" w:rsidP="0030264F">
            <w:pPr>
              <w:jc w:val="right"/>
              <w:rPr>
                <w:sz w:val="18"/>
                <w:szCs w:val="18"/>
              </w:rPr>
            </w:pPr>
            <w:r w:rsidRPr="0030264F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0264F" w:rsidRPr="0030264F" w:rsidRDefault="00195219" w:rsidP="003026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30264F" w:rsidRPr="0030264F">
              <w:rPr>
                <w:sz w:val="18"/>
                <w:szCs w:val="18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0264F" w:rsidRPr="0030264F" w:rsidRDefault="0030264F" w:rsidP="0030264F">
            <w:pPr>
              <w:jc w:val="right"/>
              <w:rPr>
                <w:sz w:val="18"/>
                <w:szCs w:val="18"/>
              </w:rPr>
            </w:pPr>
            <w:r w:rsidRPr="0030264F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0264F" w:rsidRPr="0030264F" w:rsidRDefault="00195219" w:rsidP="003026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  <w:r w:rsidR="0030264F" w:rsidRPr="0030264F">
              <w:rPr>
                <w:sz w:val="18"/>
                <w:szCs w:val="18"/>
              </w:rPr>
              <w:t>,0</w:t>
            </w:r>
          </w:p>
        </w:tc>
      </w:tr>
      <w:tr w:rsidR="0030264F" w:rsidRPr="0030264F" w:rsidTr="00BA3611">
        <w:trPr>
          <w:trHeight w:val="26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30264F" w:rsidRPr="0030264F" w:rsidRDefault="0030264F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0264F">
              <w:rPr>
                <w:rFonts w:eastAsia="Times New Roman" w:cs="Arial"/>
                <w:sz w:val="18"/>
                <w:szCs w:val="18"/>
                <w:lang w:eastAsia="es-ES"/>
              </w:rPr>
              <w:t>Información Estadística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30264F" w:rsidRPr="0030264F" w:rsidRDefault="0030264F" w:rsidP="0030264F">
            <w:pPr>
              <w:jc w:val="right"/>
              <w:rPr>
                <w:sz w:val="18"/>
                <w:szCs w:val="18"/>
              </w:rPr>
            </w:pPr>
            <w:r w:rsidRPr="0030264F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0264F" w:rsidRPr="0030264F" w:rsidRDefault="00195219" w:rsidP="003026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30264F" w:rsidRPr="0030264F">
              <w:rPr>
                <w:sz w:val="18"/>
                <w:szCs w:val="18"/>
              </w:rPr>
              <w:t>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0264F" w:rsidRPr="0030264F" w:rsidRDefault="0030264F" w:rsidP="0030264F">
            <w:pPr>
              <w:jc w:val="right"/>
              <w:rPr>
                <w:sz w:val="18"/>
                <w:szCs w:val="18"/>
              </w:rPr>
            </w:pPr>
            <w:r w:rsidRPr="0030264F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0264F" w:rsidRPr="0030264F" w:rsidRDefault="0030264F" w:rsidP="0030264F">
            <w:pPr>
              <w:jc w:val="right"/>
              <w:rPr>
                <w:sz w:val="18"/>
                <w:szCs w:val="18"/>
              </w:rPr>
            </w:pPr>
            <w:r w:rsidRPr="0030264F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0264F" w:rsidRPr="0030264F" w:rsidRDefault="0030264F" w:rsidP="0030264F">
            <w:pPr>
              <w:jc w:val="right"/>
              <w:rPr>
                <w:sz w:val="18"/>
                <w:szCs w:val="18"/>
              </w:rPr>
            </w:pPr>
            <w:r w:rsidRPr="0030264F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0264F" w:rsidRPr="0030264F" w:rsidRDefault="0030264F" w:rsidP="0030264F">
            <w:pPr>
              <w:jc w:val="right"/>
              <w:rPr>
                <w:sz w:val="18"/>
                <w:szCs w:val="18"/>
              </w:rPr>
            </w:pPr>
            <w:r w:rsidRPr="0030264F">
              <w:rPr>
                <w:sz w:val="18"/>
                <w:szCs w:val="18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0264F" w:rsidRPr="0030264F" w:rsidRDefault="0030264F" w:rsidP="0030264F">
            <w:pPr>
              <w:jc w:val="right"/>
              <w:rPr>
                <w:sz w:val="18"/>
                <w:szCs w:val="18"/>
              </w:rPr>
            </w:pPr>
            <w:r w:rsidRPr="0030264F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30264F" w:rsidRPr="0030264F" w:rsidRDefault="0030264F" w:rsidP="0030264F">
            <w:pPr>
              <w:jc w:val="right"/>
              <w:rPr>
                <w:sz w:val="18"/>
                <w:szCs w:val="18"/>
              </w:rPr>
            </w:pPr>
            <w:r w:rsidRPr="0030264F">
              <w:rPr>
                <w:sz w:val="18"/>
                <w:szCs w:val="18"/>
              </w:rPr>
              <w:t>86,0</w:t>
            </w:r>
          </w:p>
        </w:tc>
      </w:tr>
      <w:tr w:rsidR="0030264F" w:rsidRPr="0030264F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30264F" w:rsidRPr="0030264F" w:rsidRDefault="0030264F" w:rsidP="00FA5AFD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30264F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EPE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30264F" w:rsidRPr="0030264F" w:rsidRDefault="00195219" w:rsidP="0030264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93</w:t>
            </w:r>
            <w:r w:rsidR="0030264F" w:rsidRPr="0030264F">
              <w:rPr>
                <w:b/>
                <w:color w:val="FFFFFF" w:themeColor="background1"/>
                <w:sz w:val="18"/>
                <w:szCs w:val="18"/>
              </w:rPr>
              <w:t>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30264F" w:rsidRPr="0030264F" w:rsidRDefault="00195219" w:rsidP="0030264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53</w:t>
            </w:r>
            <w:r w:rsidR="0030264F" w:rsidRPr="0030264F">
              <w:rPr>
                <w:b/>
                <w:color w:val="FFFFFF" w:themeColor="background1"/>
                <w:sz w:val="18"/>
                <w:szCs w:val="18"/>
              </w:rPr>
              <w:t>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30264F" w:rsidRPr="0030264F" w:rsidRDefault="00195219" w:rsidP="0030264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93</w:t>
            </w:r>
            <w:r w:rsidR="0030264F" w:rsidRPr="0030264F">
              <w:rPr>
                <w:b/>
                <w:color w:val="FFFFFF" w:themeColor="background1"/>
                <w:sz w:val="18"/>
                <w:szCs w:val="18"/>
              </w:rPr>
              <w:t>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30264F" w:rsidRPr="0030264F" w:rsidRDefault="00195219" w:rsidP="0030264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93</w:t>
            </w:r>
            <w:r w:rsidR="0030264F" w:rsidRPr="0030264F">
              <w:rPr>
                <w:b/>
                <w:color w:val="FFFFFF" w:themeColor="background1"/>
                <w:sz w:val="18"/>
                <w:szCs w:val="18"/>
              </w:rPr>
              <w:t>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30264F" w:rsidRPr="0030264F" w:rsidRDefault="00195219" w:rsidP="0030264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93</w:t>
            </w:r>
            <w:r w:rsidR="0030264F" w:rsidRPr="0030264F">
              <w:rPr>
                <w:b/>
                <w:color w:val="FFFFFF" w:themeColor="background1"/>
                <w:sz w:val="18"/>
                <w:szCs w:val="18"/>
              </w:rPr>
              <w:t>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30264F" w:rsidRPr="0030264F" w:rsidRDefault="00195219" w:rsidP="0030264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80</w:t>
            </w:r>
            <w:r w:rsidR="0030264F" w:rsidRPr="0030264F">
              <w:rPr>
                <w:b/>
                <w:color w:val="FFFFFF" w:themeColor="background1"/>
                <w:sz w:val="18"/>
                <w:szCs w:val="18"/>
              </w:rPr>
              <w:t>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30264F" w:rsidRPr="0030264F" w:rsidRDefault="00195219" w:rsidP="0030264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93</w:t>
            </w:r>
            <w:r w:rsidR="0030264F" w:rsidRPr="0030264F">
              <w:rPr>
                <w:b/>
                <w:color w:val="FFFFFF" w:themeColor="background1"/>
                <w:sz w:val="18"/>
                <w:szCs w:val="18"/>
              </w:rPr>
              <w:t>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30264F" w:rsidRPr="0030264F" w:rsidRDefault="00195219" w:rsidP="0030264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86</w:t>
            </w:r>
            <w:r w:rsidR="0030264F" w:rsidRPr="0030264F">
              <w:rPr>
                <w:b/>
                <w:color w:val="FFFFFF" w:themeColor="background1"/>
                <w:sz w:val="18"/>
                <w:szCs w:val="18"/>
              </w:rPr>
              <w:t>,0</w:t>
            </w:r>
          </w:p>
        </w:tc>
      </w:tr>
      <w:tr w:rsidR="00FA5AFD" w:rsidRPr="0030264F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30264F" w:rsidRDefault="00FA5AFD" w:rsidP="00FA5AF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0264F">
              <w:rPr>
                <w:rFonts w:eastAsia="Times New Roman" w:cs="Arial"/>
                <w:sz w:val="18"/>
                <w:szCs w:val="18"/>
                <w:lang w:eastAsia="es-ES"/>
              </w:rPr>
              <w:t>INFORMACIÓN PATRIMONIAL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30264F" w:rsidRDefault="00FA5AFD" w:rsidP="0030264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30264F" w:rsidRDefault="00FA5AFD" w:rsidP="0030264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30264F" w:rsidRDefault="00FA5AFD" w:rsidP="0030264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30264F" w:rsidRDefault="00FA5AFD" w:rsidP="0030264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30264F" w:rsidRDefault="00FA5AFD" w:rsidP="0030264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30264F" w:rsidRDefault="00FA5AFD" w:rsidP="0030264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30264F" w:rsidRDefault="00FA5AFD" w:rsidP="0030264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30264F" w:rsidRDefault="00FA5AFD" w:rsidP="0030264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30264F" w:rsidRPr="0030264F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30264F" w:rsidRPr="0030264F" w:rsidRDefault="0030264F" w:rsidP="00FA5AFD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30264F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IP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30264F" w:rsidRPr="0030264F" w:rsidRDefault="00322FC0" w:rsidP="00322FC0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100</w:t>
            </w:r>
            <w:r w:rsidR="0030264F" w:rsidRPr="0030264F">
              <w:rPr>
                <w:b/>
                <w:color w:val="FFFFFF" w:themeColor="background1"/>
                <w:sz w:val="18"/>
                <w:szCs w:val="18"/>
              </w:rPr>
              <w:t>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30264F" w:rsidRPr="0030264F" w:rsidRDefault="0030264F" w:rsidP="0030264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30264F">
              <w:rPr>
                <w:b/>
                <w:color w:val="FFFFFF" w:themeColor="background1"/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30264F" w:rsidRPr="0030264F" w:rsidRDefault="00322FC0" w:rsidP="0030264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100</w:t>
            </w:r>
            <w:r w:rsidR="0030264F" w:rsidRPr="0030264F">
              <w:rPr>
                <w:b/>
                <w:color w:val="FFFFFF" w:themeColor="background1"/>
                <w:sz w:val="18"/>
                <w:szCs w:val="18"/>
              </w:rPr>
              <w:t>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30264F" w:rsidRPr="0030264F" w:rsidRDefault="00322FC0" w:rsidP="0030264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100</w:t>
            </w:r>
            <w:r w:rsidR="0030264F" w:rsidRPr="0030264F">
              <w:rPr>
                <w:b/>
                <w:color w:val="FFFFFF" w:themeColor="background1"/>
                <w:sz w:val="18"/>
                <w:szCs w:val="18"/>
              </w:rPr>
              <w:t>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30264F" w:rsidRPr="0030264F" w:rsidRDefault="0030264F" w:rsidP="0030264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30264F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30264F" w:rsidRPr="0030264F" w:rsidRDefault="0030264F" w:rsidP="0030264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30264F">
              <w:rPr>
                <w:b/>
                <w:color w:val="FFFFFF" w:themeColor="background1"/>
                <w:sz w:val="18"/>
                <w:szCs w:val="18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30264F" w:rsidRPr="0030264F" w:rsidRDefault="0030264F" w:rsidP="0030264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30264F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30264F" w:rsidRPr="0030264F" w:rsidRDefault="0030264F" w:rsidP="0030264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30264F">
              <w:rPr>
                <w:b/>
                <w:color w:val="FFFFFF" w:themeColor="background1"/>
                <w:sz w:val="18"/>
                <w:szCs w:val="18"/>
              </w:rPr>
              <w:t>71,0</w:t>
            </w:r>
          </w:p>
        </w:tc>
      </w:tr>
      <w:tr w:rsidR="00FA5AFD" w:rsidRPr="00BA3611" w:rsidTr="00FA5AFD">
        <w:trPr>
          <w:trHeight w:val="315"/>
        </w:trPr>
        <w:tc>
          <w:tcPr>
            <w:tcW w:w="4646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5AD82"/>
            <w:noWrap/>
            <w:vAlign w:val="center"/>
            <w:hideMark/>
          </w:tcPr>
          <w:p w:rsidR="00FA5AFD" w:rsidRPr="00BA3611" w:rsidRDefault="00FA5AFD" w:rsidP="00FA5AFD">
            <w:pPr>
              <w:jc w:val="righ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BA3611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INDICE DE CUMPLIMIENTO DE LA INFORMACION OBLIGATORIA</w:t>
            </w:r>
            <w:r w:rsidR="00CC48E8" w:rsidRPr="00BA3611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 (ICIO)</w:t>
            </w:r>
          </w:p>
        </w:tc>
        <w:tc>
          <w:tcPr>
            <w:tcW w:w="354" w:type="pct"/>
            <w:tcBorders>
              <w:top w:val="single" w:sz="4" w:space="0" w:color="333333"/>
              <w:left w:val="single" w:sz="4" w:space="0" w:color="993366"/>
              <w:bottom w:val="single" w:sz="4" w:space="0" w:color="333333"/>
              <w:right w:val="nil"/>
            </w:tcBorders>
            <w:shd w:val="clear" w:color="auto" w:fill="auto"/>
            <w:noWrap/>
            <w:hideMark/>
          </w:tcPr>
          <w:p w:rsidR="00FA5AFD" w:rsidRPr="00BA3611" w:rsidRDefault="00322FC0" w:rsidP="0001674E">
            <w:pPr>
              <w:jc w:val="right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86,0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30264F" w:rsidRDefault="005C4778" w:rsidP="00BA14E6">
      <w:pPr>
        <w:pStyle w:val="Cuerpodelboletn"/>
        <w:spacing w:line="276" w:lineRule="auto"/>
      </w:pPr>
      <w:r>
        <w:t>Una vez efectuada la revisión de la información sujeta a obligaciones de publicidad activa se ha constatado un</w:t>
      </w:r>
      <w:r w:rsidR="00322FC0">
        <w:t>a</w:t>
      </w:r>
      <w:r>
        <w:t xml:space="preserve"> </w:t>
      </w:r>
      <w:r w:rsidR="00322FC0">
        <w:t>disminución</w:t>
      </w:r>
      <w:r>
        <w:t xml:space="preserve"> del </w:t>
      </w:r>
      <w:r w:rsidR="00E73F4D">
        <w:t>Índice de C</w:t>
      </w:r>
      <w:r>
        <w:t xml:space="preserve">umplimiento </w:t>
      </w:r>
      <w:r w:rsidR="00E73F4D">
        <w:t xml:space="preserve">de la Información Obligatoria </w:t>
      </w:r>
      <w:r w:rsidR="00BA14E6">
        <w:t xml:space="preserve">(ICIO) </w:t>
      </w:r>
      <w:r w:rsidR="00E73F4D">
        <w:t xml:space="preserve">en un </w:t>
      </w:r>
      <w:r w:rsidR="00CE633A">
        <w:t>0,</w:t>
      </w:r>
      <w:r w:rsidR="00322FC0">
        <w:t>23</w:t>
      </w:r>
      <w:r w:rsidR="00E73F4D">
        <w:t xml:space="preserve">%. </w:t>
      </w:r>
      <w:r w:rsidR="00BA14E6">
        <w:t>El ICIO de</w:t>
      </w:r>
      <w:r w:rsidR="00CE633A">
        <w:t>l Museo Nacional del Prado</w:t>
      </w:r>
      <w:r w:rsidR="00E73F4D">
        <w:t xml:space="preserve"> ha pasado de </w:t>
      </w:r>
      <w:r w:rsidR="00BA14E6">
        <w:t xml:space="preserve">un </w:t>
      </w:r>
      <w:r w:rsidR="00CE633A">
        <w:t>88,3</w:t>
      </w:r>
      <w:r w:rsidR="00BA14E6">
        <w:t xml:space="preserve">% (equivalente a una puntuación de </w:t>
      </w:r>
      <w:r w:rsidR="00CE633A">
        <w:t>8,83</w:t>
      </w:r>
      <w:r w:rsidR="00BA14E6">
        <w:t xml:space="preserve"> puntos sobre 10) a un </w:t>
      </w:r>
      <w:r w:rsidR="00322FC0">
        <w:t>86,0</w:t>
      </w:r>
      <w:r w:rsidR="00BA14E6">
        <w:t xml:space="preserve">% (equivalente a </w:t>
      </w:r>
      <w:r w:rsidR="00CE633A">
        <w:t>8,</w:t>
      </w:r>
      <w:r w:rsidR="00322FC0">
        <w:t>6</w:t>
      </w:r>
      <w:r w:rsidR="00BA14E6">
        <w:t xml:space="preserve">), lo que </w:t>
      </w:r>
      <w:r w:rsidR="00322FC0">
        <w:t>disminuye ligeramente</w:t>
      </w:r>
      <w:r w:rsidR="00CE633A">
        <w:t xml:space="preserve"> el elevado nivel de cumplimiento del Museo en 2019</w:t>
      </w:r>
      <w:r w:rsidR="00BA14E6">
        <w:t>.</w:t>
      </w:r>
      <w:r w:rsidR="00322FC0">
        <w:t xml:space="preserve"> Esta disminución se debe a la falta de actualización de la información presupuestaria, ya que en la web del Museo los últimos </w:t>
      </w:r>
      <w:r w:rsidR="00322FC0">
        <w:lastRenderedPageBreak/>
        <w:t>presupuestos publicados son los de 2018</w:t>
      </w:r>
      <w:r w:rsidR="00360225">
        <w:t xml:space="preserve"> y a las dificultades de acceso a la información sobre el Registro de Actividades de Tratamiento que no está datada ni actualizada y además se publica en formato no </w:t>
      </w:r>
      <w:r w:rsidR="008B7363">
        <w:t>reutilizable</w:t>
      </w:r>
      <w:r w:rsidR="00322FC0">
        <w:t>.</w:t>
      </w:r>
    </w:p>
    <w:p w:rsidR="00714C54" w:rsidRDefault="00714C54" w:rsidP="00F05E2C">
      <w:pPr>
        <w:pStyle w:val="Cuerpodelboletn"/>
      </w:pPr>
    </w:p>
    <w:p w:rsidR="00A24E51" w:rsidRDefault="00A24E51" w:rsidP="00F05E2C">
      <w:pPr>
        <w:pStyle w:val="Cuerpodelboletn"/>
        <w:sectPr w:rsidR="00A24E51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1307893759"/>
        <w:placeholder>
          <w:docPart w:val="4041ECFB4E934057B7EF021C0F3E2D14"/>
        </w:placeholder>
      </w:sdtPr>
      <w:sdtEndPr/>
      <w:sdtContent>
        <w:p w:rsidR="004720A5" w:rsidRPr="002D27E4" w:rsidRDefault="009D4047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>Buenas Prácticas</w:t>
          </w:r>
        </w:p>
      </w:sdtContent>
    </w:sdt>
    <w:p w:rsidR="009E7254" w:rsidRDefault="009E7254" w:rsidP="00965C69">
      <w:pPr>
        <w:pStyle w:val="Cuerpodelboletn"/>
      </w:pPr>
    </w:p>
    <w:p w:rsidR="00BA14E6" w:rsidRDefault="00CE633A" w:rsidP="00CE633A">
      <w:pPr>
        <w:pStyle w:val="Cuerpodelboletn"/>
        <w:spacing w:line="276" w:lineRule="auto"/>
      </w:pPr>
      <w:r>
        <w:t>No cabe señalar buenas prácticas adicionales a las señaladas en el informe de evaluación de 2019.</w:t>
      </w:r>
    </w:p>
    <w:p w:rsidR="00526199" w:rsidRDefault="00526199" w:rsidP="00CE633A">
      <w:pPr>
        <w:pStyle w:val="Cuerpodelboletn"/>
        <w:spacing w:line="276" w:lineRule="auto"/>
      </w:pPr>
    </w:p>
    <w:p w:rsidR="00526199" w:rsidRDefault="00526199" w:rsidP="00CE633A">
      <w:pPr>
        <w:pStyle w:val="Cuerpodelboletn"/>
        <w:spacing w:line="276" w:lineRule="auto"/>
        <w:sectPr w:rsidR="00526199" w:rsidSect="004720A5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C259F4" w:rsidRPr="002D27E4" w:rsidRDefault="00751FAA" w:rsidP="005B66AA">
      <w:pPr>
        <w:pStyle w:val="Cuerpodelboletn"/>
        <w:numPr>
          <w:ilvl w:val="0"/>
          <w:numId w:val="2"/>
        </w:numPr>
        <w:spacing w:line="276" w:lineRule="auto"/>
        <w:rPr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BB96D0" wp14:editId="1695A9B1">
                <wp:simplePos x="0" y="0"/>
                <wp:positionH relativeFrom="page">
                  <wp:posOffset>-19050</wp:posOffset>
                </wp:positionH>
                <wp:positionV relativeFrom="page">
                  <wp:posOffset>993140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1.5pt;margin-top:78.2pt;width:630pt;height:13.7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9BB628" wp14:editId="1EA7E19E">
                <wp:simplePos x="0" y="0"/>
                <wp:positionH relativeFrom="page">
                  <wp:posOffset>-19050</wp:posOffset>
                </wp:positionH>
                <wp:positionV relativeFrom="page">
                  <wp:posOffset>-3175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6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95219" w:rsidRPr="00F31BC3" w:rsidRDefault="00195219" w:rsidP="00751FAA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EACE91D" wp14:editId="1A77BE33">
                                  <wp:extent cx="1148080" cy="648335"/>
                                  <wp:effectExtent l="0" t="0" r="0" b="0"/>
                                  <wp:docPr id="26" name="Imagen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-1.5pt;margin-top:-.25pt;width:630pt;height:78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hQT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" fillcolor="#50866c" stroked="f">
                <v:textbox inset=",7.2pt,,7.2pt">
                  <w:txbxContent>
                    <w:p w:rsidR="0030264F" w:rsidRPr="00F31BC3" w:rsidRDefault="0030264F" w:rsidP="00751FAA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EACE91D" wp14:editId="1A77BE33">
                            <wp:extent cx="1148080" cy="648335"/>
                            <wp:effectExtent l="0" t="0" r="0" b="0"/>
                            <wp:docPr id="26" name="Imagen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ED57F6">
        <w:t xml:space="preserve"> </w:t>
      </w:r>
      <w:r w:rsidR="00BC61D1"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873002" wp14:editId="42498CC0">
                <wp:simplePos x="0" y="0"/>
                <wp:positionH relativeFrom="page">
                  <wp:posOffset>-28575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0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2.25pt;margin-top:78.95pt;width:630pt;height:13.7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bN6CgIAAPg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="00BC61D1"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AA97B4B" wp14:editId="72EBA20B">
                <wp:simplePos x="0" y="0"/>
                <wp:positionH relativeFrom="page">
                  <wp:posOffset>-28575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5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95219" w:rsidRPr="00F31BC3" w:rsidRDefault="00195219" w:rsidP="00BC61D1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ABE2C6C" wp14:editId="5CBAF809">
                                  <wp:extent cx="1148080" cy="648335"/>
                                  <wp:effectExtent l="0" t="0" r="0" b="0"/>
                                  <wp:docPr id="27" name="Imagen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-2.25pt;margin-top:.5pt;width:630pt;height:7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" fillcolor="#50866c" stroked="f">
                <v:textbox inset=",7.2pt,,7.2pt">
                  <w:txbxContent>
                    <w:p w:rsidR="0030264F" w:rsidRPr="00F31BC3" w:rsidRDefault="0030264F" w:rsidP="00BC61D1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ABE2C6C" wp14:editId="5CBAF809">
                            <wp:extent cx="1148080" cy="648335"/>
                            <wp:effectExtent l="0" t="0" r="0" b="0"/>
                            <wp:docPr id="27" name="Imagen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-409474120"/>
          <w:placeholder>
            <w:docPart w:val="FD98A9A16E1C4E1DA3A066E830405301"/>
          </w:placeholder>
        </w:sdtPr>
        <w:sdtEndPr/>
        <w:sdtContent>
          <w:r w:rsidR="00C259F4"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sdtContent>
      </w:sdt>
    </w:p>
    <w:p w:rsidR="00965C69" w:rsidRDefault="00965C69" w:rsidP="00965C69">
      <w:pPr>
        <w:pStyle w:val="Cuerpodelboletn"/>
      </w:pP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C02953" w:rsidRDefault="005C4778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C02953">
        <w:rPr>
          <w:rFonts w:ascii="Century Gothic" w:hAnsi="Century Gothic"/>
        </w:rPr>
        <w:lastRenderedPageBreak/>
        <w:t xml:space="preserve">Este CTBG valora positivamente el esfuerzo realizado por </w:t>
      </w:r>
      <w:r w:rsidR="00CE633A">
        <w:rPr>
          <w:rFonts w:ascii="Century Gothic" w:hAnsi="Century Gothic"/>
        </w:rPr>
        <w:t>el Museo Nacional del Prado</w:t>
      </w:r>
      <w:r w:rsidRPr="00C02953">
        <w:rPr>
          <w:rFonts w:ascii="Century Gothic" w:hAnsi="Century Gothic"/>
        </w:rPr>
        <w:t xml:space="preserve"> para aplicar las recomendaciones efectuadas en la evaluación realizada en 2019.</w:t>
      </w:r>
      <w:r w:rsidR="00C02953">
        <w:rPr>
          <w:rFonts w:ascii="Century Gothic" w:hAnsi="Century Gothic"/>
        </w:rPr>
        <w:t xml:space="preserve"> Se ha aplicado el </w:t>
      </w:r>
      <w:r w:rsidR="0030264F">
        <w:rPr>
          <w:rFonts w:ascii="Century Gothic" w:hAnsi="Century Gothic"/>
        </w:rPr>
        <w:t>28,57</w:t>
      </w:r>
      <w:r w:rsidR="00C02953">
        <w:rPr>
          <w:rFonts w:ascii="Century Gothic" w:hAnsi="Century Gothic"/>
        </w:rPr>
        <w:t xml:space="preserve">% de </w:t>
      </w:r>
      <w:r w:rsidR="00B54068">
        <w:rPr>
          <w:rFonts w:ascii="Century Gothic" w:hAnsi="Century Gothic"/>
        </w:rPr>
        <w:t>estas</w:t>
      </w:r>
      <w:r w:rsidR="00C02953">
        <w:rPr>
          <w:rFonts w:ascii="Century Gothic" w:hAnsi="Century Gothic"/>
        </w:rPr>
        <w:t xml:space="preserve"> recomendaciones.</w:t>
      </w:r>
    </w:p>
    <w:p w:rsidR="00C02953" w:rsidRDefault="00C0295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02953" w:rsidRDefault="00322FC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No obstante se ha producido una disminución </w:t>
      </w:r>
      <w:r w:rsidR="00C02953">
        <w:rPr>
          <w:rFonts w:ascii="Century Gothic" w:hAnsi="Century Gothic"/>
        </w:rPr>
        <w:t xml:space="preserve">del Índice de Cumplimiento de la Información Obligatoria que ha pasado de un nivel de cumplimiento del </w:t>
      </w:r>
      <w:r w:rsidR="0030264F">
        <w:rPr>
          <w:rFonts w:ascii="Century Gothic" w:hAnsi="Century Gothic"/>
        </w:rPr>
        <w:t>88,30</w:t>
      </w:r>
      <w:r w:rsidR="00C02953">
        <w:rPr>
          <w:rFonts w:ascii="Century Gothic" w:hAnsi="Century Gothic"/>
        </w:rPr>
        <w:t xml:space="preserve">% a un </w:t>
      </w:r>
      <w:r>
        <w:rPr>
          <w:rFonts w:ascii="Century Gothic" w:hAnsi="Century Gothic"/>
        </w:rPr>
        <w:t>86,0</w:t>
      </w:r>
      <w:r w:rsidR="00C02953">
        <w:rPr>
          <w:rFonts w:ascii="Century Gothic" w:hAnsi="Century Gothic"/>
        </w:rPr>
        <w:t>%.</w:t>
      </w:r>
    </w:p>
    <w:p w:rsidR="00C02953" w:rsidRDefault="00C0295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02953" w:rsidRDefault="00C0295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Como puede apreciarse en la tabla de valoración del ICIO, según bloques de información y atributos, los factores que </w:t>
      </w:r>
      <w:r w:rsidR="00AE6A4F">
        <w:rPr>
          <w:rFonts w:ascii="Century Gothic" w:hAnsi="Century Gothic"/>
        </w:rPr>
        <w:t>explican</w:t>
      </w:r>
      <w:r>
        <w:rPr>
          <w:rFonts w:ascii="Century Gothic" w:hAnsi="Century Gothic"/>
        </w:rPr>
        <w:t xml:space="preserve"> la puntuación obtenida son fundamentalmente la falta de referencias a la revisión y actualización de la información y la accesibilidad a la misma, sobre todo cuando se trata de información procedente de fuentes centralizadas que incrementa el número de enlaces que es necesario “pinchar” para llegar a la información y que además obliga a efectuar búsquedas en el PTAGE ya que esta información normalmente se ofrece agregada por Ministerio. </w:t>
      </w:r>
      <w:r w:rsidR="0030264F">
        <w:rPr>
          <w:rFonts w:ascii="Century Gothic" w:hAnsi="Century Gothic"/>
        </w:rPr>
        <w:t>También aunque ha mejorado la publicación de información en formatos reutilizables, sigue existiendo información que se publica directamente en la web.</w:t>
      </w:r>
    </w:p>
    <w:p w:rsidR="00C02953" w:rsidRDefault="00C0295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30264F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En cualquier caso, este CTBG sigue insistiendo en  </w:t>
      </w:r>
      <w:r w:rsidR="0030264F">
        <w:rPr>
          <w:rFonts w:ascii="Century Gothic" w:hAnsi="Century Gothic"/>
        </w:rPr>
        <w:t>que se articule un espacio diferenciado en la web del Museo, por ejemplo en el acceso Museo, en el que se localice (o se enlace a) la información sujeta a obligaciones de publicidad activa, organizándola conforme al patrón definido por la LTAIBG.</w:t>
      </w:r>
    </w:p>
    <w:p w:rsidR="0030264F" w:rsidRDefault="0030264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03FE0" w:rsidRDefault="0030264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Por otra parte, subsiste </w:t>
      </w:r>
      <w:r w:rsidR="00903FE0">
        <w:rPr>
          <w:rFonts w:ascii="Century Gothic" w:hAnsi="Century Gothic"/>
        </w:rPr>
        <w:t>la necesidad de facilitar la accesibilidad a la información procedente de fuentes centralizadas (</w:t>
      </w:r>
      <w:r w:rsidR="00903FE0" w:rsidRPr="00903FE0">
        <w:rPr>
          <w:rFonts w:ascii="Century Gothic" w:hAnsi="Century Gothic"/>
        </w:rPr>
        <w:t>Contratación, Convenios, Encomiendas de gestión</w:t>
      </w:r>
      <w:r w:rsidR="00A02F7F">
        <w:rPr>
          <w:rFonts w:ascii="Century Gothic" w:hAnsi="Century Gothic"/>
        </w:rPr>
        <w:t>,</w:t>
      </w:r>
      <w:r w:rsidR="00903FE0">
        <w:rPr>
          <w:rFonts w:ascii="Century Gothic" w:hAnsi="Century Gothic"/>
        </w:rPr>
        <w:t xml:space="preserve"> </w:t>
      </w:r>
      <w:r w:rsidR="00A02F7F">
        <w:rPr>
          <w:rFonts w:ascii="Century Gothic" w:hAnsi="Century Gothic"/>
        </w:rPr>
        <w:t>R</w:t>
      </w:r>
      <w:r w:rsidR="00903FE0" w:rsidRPr="00903FE0">
        <w:rPr>
          <w:rFonts w:ascii="Century Gothic" w:hAnsi="Century Gothic"/>
        </w:rPr>
        <w:t>esoluciones de compatibilidad de empleados con actividades públicas o privadas y Bienes Inmuebles</w:t>
      </w:r>
      <w:r w:rsidR="00903FE0">
        <w:rPr>
          <w:rFonts w:ascii="Century Gothic" w:hAnsi="Century Gothic"/>
        </w:rPr>
        <w:t>)</w:t>
      </w:r>
      <w:r w:rsidR="00903FE0" w:rsidRPr="00903FE0">
        <w:rPr>
          <w:rFonts w:ascii="Century Gothic" w:hAnsi="Century Gothic"/>
        </w:rPr>
        <w:t xml:space="preserve">   mediante</w:t>
      </w:r>
      <w:r w:rsidR="00903FE0">
        <w:rPr>
          <w:rFonts w:ascii="Century Gothic" w:hAnsi="Century Gothic"/>
        </w:rPr>
        <w:t xml:space="preserve"> la publicación de</w:t>
      </w:r>
      <w:r w:rsidR="00903FE0" w:rsidRPr="00903FE0">
        <w:rPr>
          <w:rFonts w:ascii="Century Gothic" w:hAnsi="Century Gothic"/>
        </w:rPr>
        <w:t xml:space="preserve"> tablas-resumen que incorporen los datos exigidos por el art. 8.1 de la Ley de Transparencia para estas obligaciones</w:t>
      </w:r>
      <w:r w:rsidR="00903FE0">
        <w:rPr>
          <w:rFonts w:ascii="Century Gothic" w:hAnsi="Century Gothic"/>
        </w:rPr>
        <w:t>.</w:t>
      </w:r>
      <w:r w:rsidR="00A02F7F">
        <w:rPr>
          <w:rFonts w:ascii="Century Gothic" w:hAnsi="Century Gothic"/>
        </w:rPr>
        <w:t xml:space="preserve"> </w:t>
      </w:r>
      <w:r w:rsidR="00903FE0">
        <w:rPr>
          <w:rFonts w:ascii="Century Gothic" w:hAnsi="Century Gothic"/>
        </w:rPr>
        <w:t xml:space="preserve">También </w:t>
      </w:r>
      <w:r w:rsidR="00A02F7F">
        <w:rPr>
          <w:rFonts w:ascii="Century Gothic" w:hAnsi="Century Gothic"/>
        </w:rPr>
        <w:t>deben incorporarse</w:t>
      </w:r>
      <w:r w:rsidR="00AE6A4F">
        <w:rPr>
          <w:rFonts w:ascii="Century Gothic" w:hAnsi="Century Gothic"/>
        </w:rPr>
        <w:t xml:space="preserve"> referencias a</w:t>
      </w:r>
      <w:r w:rsidR="00903FE0">
        <w:rPr>
          <w:rFonts w:ascii="Century Gothic" w:hAnsi="Century Gothic"/>
        </w:rPr>
        <w:t xml:space="preserve"> la fecha</w:t>
      </w:r>
      <w:r w:rsidR="00AE6A4F">
        <w:rPr>
          <w:rFonts w:ascii="Century Gothic" w:hAnsi="Century Gothic"/>
        </w:rPr>
        <w:t xml:space="preserve"> de revisión y actualización de la información sujeta a obligaciones de Transparencia.</w:t>
      </w:r>
    </w:p>
    <w:p w:rsidR="0030264F" w:rsidRDefault="0030264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30264F" w:rsidRDefault="00B54068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B54068">
        <w:rPr>
          <w:rFonts w:ascii="Century Gothic" w:hAnsi="Century Gothic"/>
        </w:rPr>
        <w:t>Una cuestión adicional es la localización de la información sobre el registro de actividades de tratamiento. Esta información es obligatoria y está vinculada al grupo de Información Institucional y Organizativa. De hecho, la LOPD introdujo un nuevo artículo, 6 bis, en la Ley de Transparencia, Acceso a la Información y Buen Gobierno, que contempla esta obligación. Este Consejo recomienda que en el bloque de Información Institucional y Organizativa se enlace a esta información, que actualmente se localiza en el enlace Política de Privacidad ubicado en la parte inferior de la página home.</w:t>
      </w:r>
    </w:p>
    <w:p w:rsidR="00B54068" w:rsidRDefault="00B54068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AE6A4F" w:rsidRDefault="00AE6A4F" w:rsidP="00DE6F27">
      <w:pPr>
        <w:pStyle w:val="Sinespaciado"/>
        <w:spacing w:line="276" w:lineRule="auto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Madrid, marzo de 2020</w:t>
      </w:r>
    </w:p>
    <w:p w:rsidR="00DE6F27" w:rsidRDefault="00DE6F27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9654DA" w:rsidRPr="002D27E4" w:rsidRDefault="002D27E4" w:rsidP="00DE6F27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C2B113E" wp14:editId="3B412DFF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E8E6B80" wp14:editId="48BEDB8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95219" w:rsidRPr="00F31BC3" w:rsidRDefault="00195219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E4D292A" wp14:editId="51310D05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DjuhKcDwIA&#10;AAo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30264F" w:rsidRPr="00F31BC3" w:rsidRDefault="0030264F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5E4D292A" wp14:editId="51310D05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7D25C6A7" wp14:editId="2D42E48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7A463CF3" wp14:editId="739D26AB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195219" w:rsidRPr="00F31BC3" w:rsidRDefault="00195219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70FA46BE" wp14:editId="4C78DF6F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2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eFaEAIAAAo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Bil4Vo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30264F" w:rsidRPr="00F31BC3" w:rsidRDefault="0030264F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70FA46BE" wp14:editId="4C78DF6F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A02F7F" w:rsidRPr="009654DA" w:rsidTr="00895F9C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A02F7F" w:rsidRPr="009654DA" w:rsidRDefault="00A02F7F" w:rsidP="00895F9C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A02F7F" w:rsidRPr="009654DA" w:rsidRDefault="00A02F7F" w:rsidP="00895F9C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A02F7F" w:rsidRPr="009654DA" w:rsidRDefault="00A02F7F" w:rsidP="00895F9C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A02F7F" w:rsidRPr="009654DA" w:rsidRDefault="00A02F7F" w:rsidP="00895F9C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A02F7F" w:rsidRPr="009654DA" w:rsidRDefault="00A02F7F" w:rsidP="00895F9C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A02F7F" w:rsidRPr="009654DA" w:rsidTr="00895F9C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F7F" w:rsidRPr="009654DA" w:rsidRDefault="00A02F7F" w:rsidP="00895F9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F7F" w:rsidRPr="009654DA" w:rsidRDefault="00A02F7F" w:rsidP="00895F9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F7F" w:rsidRPr="009654DA" w:rsidRDefault="00A02F7F" w:rsidP="00895F9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7F" w:rsidRPr="009654DA" w:rsidRDefault="00A02F7F" w:rsidP="00895F9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A02F7F" w:rsidRPr="009654DA" w:rsidTr="00895F9C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7F" w:rsidRPr="009654DA" w:rsidRDefault="00A02F7F" w:rsidP="00895F9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A02F7F" w:rsidRPr="009654DA" w:rsidTr="00895F9C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F7F" w:rsidRPr="009654DA" w:rsidRDefault="00A02F7F" w:rsidP="00895F9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F7F" w:rsidRPr="009654DA" w:rsidRDefault="00A02F7F" w:rsidP="00895F9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7F" w:rsidRPr="009654DA" w:rsidRDefault="00A02F7F" w:rsidP="00895F9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A02F7F" w:rsidRPr="009654DA" w:rsidTr="00895F9C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7F" w:rsidRPr="009654DA" w:rsidRDefault="00A02F7F" w:rsidP="00895F9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A02F7F" w:rsidRPr="009654DA" w:rsidTr="00895F9C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F7F" w:rsidRPr="009654DA" w:rsidRDefault="00A02F7F" w:rsidP="00895F9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F7F" w:rsidRPr="009654DA" w:rsidRDefault="00A02F7F" w:rsidP="00895F9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7F" w:rsidRPr="009654DA" w:rsidRDefault="00A02F7F" w:rsidP="00895F9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está dentro de los TRES meses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A02F7F" w:rsidRPr="009654DA" w:rsidTr="00895F9C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7F" w:rsidRPr="009654DA" w:rsidRDefault="00A02F7F" w:rsidP="00895F9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A02F7F" w:rsidRPr="009654DA" w:rsidTr="00895F9C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7F" w:rsidRPr="009654DA" w:rsidRDefault="00A02F7F" w:rsidP="00895F9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A02F7F" w:rsidRPr="009654DA" w:rsidTr="00895F9C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F7F" w:rsidRPr="009654DA" w:rsidRDefault="00A02F7F" w:rsidP="00895F9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F7F" w:rsidRPr="009654DA" w:rsidRDefault="00A02F7F" w:rsidP="00895F9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F7F" w:rsidRPr="009654DA" w:rsidRDefault="00A02F7F" w:rsidP="00895F9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A02F7F" w:rsidRPr="009654DA" w:rsidTr="00895F9C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A02F7F" w:rsidRPr="009654DA" w:rsidTr="00895F9C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A02F7F" w:rsidRPr="009654DA" w:rsidTr="00895F9C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A02F7F" w:rsidRPr="009654DA" w:rsidTr="00895F9C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A02F7F" w:rsidRPr="009654DA" w:rsidTr="00895F9C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A02F7F" w:rsidRPr="009654DA" w:rsidTr="00895F9C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A02F7F" w:rsidRPr="009654DA" w:rsidTr="00895F9C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A02F7F" w:rsidRPr="009654DA" w:rsidTr="00895F9C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A02F7F" w:rsidRPr="009654DA" w:rsidTr="00895F9C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A02F7F" w:rsidRPr="009654DA" w:rsidTr="00895F9C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A02F7F" w:rsidRPr="009654DA" w:rsidTr="00895F9C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F7F" w:rsidRPr="009654DA" w:rsidRDefault="00A02F7F" w:rsidP="00895F9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F7F" w:rsidRPr="009654DA" w:rsidRDefault="00A02F7F" w:rsidP="00895F9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A02F7F" w:rsidRPr="009654DA" w:rsidTr="00895F9C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A02F7F" w:rsidRPr="009654DA" w:rsidTr="00895F9C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A02F7F" w:rsidRPr="009654DA" w:rsidTr="00895F9C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A02F7F" w:rsidRPr="009654DA" w:rsidTr="00895F9C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A02F7F" w:rsidRPr="009654DA" w:rsidTr="00895F9C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A02F7F" w:rsidRPr="009654DA" w:rsidTr="00895F9C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A02F7F" w:rsidRPr="009654DA" w:rsidTr="00895F9C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A02F7F" w:rsidRPr="009654DA" w:rsidTr="00895F9C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A02F7F" w:rsidRPr="009654DA" w:rsidTr="00895F9C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A02F7F" w:rsidRPr="009654DA" w:rsidTr="00895F9C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A02F7F" w:rsidRPr="009654DA" w:rsidTr="00895F9C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F7F" w:rsidRPr="009654DA" w:rsidRDefault="00A02F7F" w:rsidP="00895F9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F7F" w:rsidRPr="009654DA" w:rsidRDefault="00A02F7F" w:rsidP="00895F9C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A02F7F" w:rsidRPr="009654DA" w:rsidTr="00895F9C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A02F7F" w:rsidRPr="009654DA" w:rsidTr="00895F9C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F7F" w:rsidRPr="009654DA" w:rsidRDefault="00A02F7F" w:rsidP="00895F9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F7F" w:rsidRPr="009654DA" w:rsidRDefault="00A02F7F" w:rsidP="00895F9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A02F7F" w:rsidRPr="009654DA" w:rsidTr="00895F9C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A02F7F" w:rsidRPr="009654DA" w:rsidTr="00895F9C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F7F" w:rsidRPr="009654DA" w:rsidRDefault="00A02F7F" w:rsidP="00895F9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F7F" w:rsidRPr="009654DA" w:rsidRDefault="00A02F7F" w:rsidP="00895F9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F7F" w:rsidRPr="009654DA" w:rsidRDefault="00A02F7F" w:rsidP="00895F9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A02F7F" w:rsidRPr="009654DA" w:rsidTr="00895F9C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A02F7F" w:rsidRPr="009654DA" w:rsidTr="00895F9C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F7F" w:rsidRPr="009654DA" w:rsidRDefault="00A02F7F" w:rsidP="00895F9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A02F7F" w:rsidRDefault="00A02F7F" w:rsidP="00A02F7F">
      <w:pPr>
        <w:pStyle w:val="Cuerpodelboletn"/>
      </w:pPr>
    </w:p>
    <w:sectPr w:rsidR="00A02F7F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219" w:rsidRDefault="00195219" w:rsidP="00F31BC3">
      <w:r>
        <w:separator/>
      </w:r>
    </w:p>
  </w:endnote>
  <w:endnote w:type="continuationSeparator" w:id="0">
    <w:p w:rsidR="00195219" w:rsidRDefault="00195219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219" w:rsidRDefault="00195219" w:rsidP="00F31BC3">
      <w:r>
        <w:separator/>
      </w:r>
    </w:p>
  </w:footnote>
  <w:footnote w:type="continuationSeparator" w:id="0">
    <w:p w:rsidR="00195219" w:rsidRDefault="00195219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A5A7C"/>
    <w:multiLevelType w:val="hybridMultilevel"/>
    <w:tmpl w:val="044E72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9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557964"/>
    <w:multiLevelType w:val="hybridMultilevel"/>
    <w:tmpl w:val="46EC4544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1"/>
  </w:num>
  <w:num w:numId="5">
    <w:abstractNumId w:val="12"/>
  </w:num>
  <w:num w:numId="6">
    <w:abstractNumId w:val="13"/>
  </w:num>
  <w:num w:numId="7">
    <w:abstractNumId w:val="11"/>
  </w:num>
  <w:num w:numId="8">
    <w:abstractNumId w:val="2"/>
  </w:num>
  <w:num w:numId="9">
    <w:abstractNumId w:val="5"/>
  </w:num>
  <w:num w:numId="10">
    <w:abstractNumId w:val="4"/>
  </w:num>
  <w:num w:numId="11">
    <w:abstractNumId w:val="15"/>
  </w:num>
  <w:num w:numId="12">
    <w:abstractNumId w:val="10"/>
  </w:num>
  <w:num w:numId="13">
    <w:abstractNumId w:val="6"/>
  </w:num>
  <w:num w:numId="14">
    <w:abstractNumId w:val="16"/>
  </w:num>
  <w:num w:numId="15">
    <w:abstractNumId w:val="3"/>
  </w:num>
  <w:num w:numId="16">
    <w:abstractNumId w:val="17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4E"/>
    <w:rsid w:val="00032D8A"/>
    <w:rsid w:val="00053A0E"/>
    <w:rsid w:val="0005642F"/>
    <w:rsid w:val="000775A5"/>
    <w:rsid w:val="000D3907"/>
    <w:rsid w:val="000D5417"/>
    <w:rsid w:val="000E0A9E"/>
    <w:rsid w:val="00104DE9"/>
    <w:rsid w:val="00104E94"/>
    <w:rsid w:val="00112431"/>
    <w:rsid w:val="001149B1"/>
    <w:rsid w:val="00132732"/>
    <w:rsid w:val="00146C3C"/>
    <w:rsid w:val="00164876"/>
    <w:rsid w:val="001763F8"/>
    <w:rsid w:val="00187CDD"/>
    <w:rsid w:val="0019448F"/>
    <w:rsid w:val="00195219"/>
    <w:rsid w:val="001A0DA8"/>
    <w:rsid w:val="001A5305"/>
    <w:rsid w:val="001C4509"/>
    <w:rsid w:val="001C7C78"/>
    <w:rsid w:val="001C7D84"/>
    <w:rsid w:val="001E5AAD"/>
    <w:rsid w:val="0021682B"/>
    <w:rsid w:val="00231D61"/>
    <w:rsid w:val="00243294"/>
    <w:rsid w:val="002467FA"/>
    <w:rsid w:val="00263F79"/>
    <w:rsid w:val="002D0702"/>
    <w:rsid w:val="002D27E4"/>
    <w:rsid w:val="0030264F"/>
    <w:rsid w:val="0031769F"/>
    <w:rsid w:val="00322FC0"/>
    <w:rsid w:val="00347877"/>
    <w:rsid w:val="00355DC0"/>
    <w:rsid w:val="00360225"/>
    <w:rsid w:val="00363C3C"/>
    <w:rsid w:val="003A1694"/>
    <w:rsid w:val="003A390C"/>
    <w:rsid w:val="003B57E6"/>
    <w:rsid w:val="003B6B96"/>
    <w:rsid w:val="003D2C4A"/>
    <w:rsid w:val="003E564B"/>
    <w:rsid w:val="003E5D2F"/>
    <w:rsid w:val="003F6EDC"/>
    <w:rsid w:val="00415DBD"/>
    <w:rsid w:val="00422B18"/>
    <w:rsid w:val="004720A5"/>
    <w:rsid w:val="0047735C"/>
    <w:rsid w:val="004859CC"/>
    <w:rsid w:val="004A1663"/>
    <w:rsid w:val="004C6440"/>
    <w:rsid w:val="004D50CC"/>
    <w:rsid w:val="004D7037"/>
    <w:rsid w:val="004E7B33"/>
    <w:rsid w:val="00526199"/>
    <w:rsid w:val="005301DF"/>
    <w:rsid w:val="00536832"/>
    <w:rsid w:val="00563295"/>
    <w:rsid w:val="005B1544"/>
    <w:rsid w:val="005B66AA"/>
    <w:rsid w:val="005C4778"/>
    <w:rsid w:val="005E2505"/>
    <w:rsid w:val="005E6704"/>
    <w:rsid w:val="00603DFC"/>
    <w:rsid w:val="00633EAA"/>
    <w:rsid w:val="0069673B"/>
    <w:rsid w:val="006B75D8"/>
    <w:rsid w:val="006C0CDD"/>
    <w:rsid w:val="006D49E7"/>
    <w:rsid w:val="006E75DE"/>
    <w:rsid w:val="007071A8"/>
    <w:rsid w:val="00707C14"/>
    <w:rsid w:val="00714C54"/>
    <w:rsid w:val="00717272"/>
    <w:rsid w:val="0073626B"/>
    <w:rsid w:val="00751FAA"/>
    <w:rsid w:val="00753E4E"/>
    <w:rsid w:val="00760E4B"/>
    <w:rsid w:val="0076640C"/>
    <w:rsid w:val="00767C60"/>
    <w:rsid w:val="00777FB3"/>
    <w:rsid w:val="00790143"/>
    <w:rsid w:val="007942B7"/>
    <w:rsid w:val="007954A6"/>
    <w:rsid w:val="007D1701"/>
    <w:rsid w:val="007D5CBF"/>
    <w:rsid w:val="007F1D56"/>
    <w:rsid w:val="007F5F9D"/>
    <w:rsid w:val="00803D20"/>
    <w:rsid w:val="00821526"/>
    <w:rsid w:val="0082470D"/>
    <w:rsid w:val="00825ACB"/>
    <w:rsid w:val="00882A5B"/>
    <w:rsid w:val="00891E6F"/>
    <w:rsid w:val="00894358"/>
    <w:rsid w:val="0089455A"/>
    <w:rsid w:val="00895F9C"/>
    <w:rsid w:val="00897D04"/>
    <w:rsid w:val="008A03D6"/>
    <w:rsid w:val="008B7363"/>
    <w:rsid w:val="00902A71"/>
    <w:rsid w:val="009039FD"/>
    <w:rsid w:val="00903FE0"/>
    <w:rsid w:val="00912DB4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2F7F"/>
    <w:rsid w:val="00A24E51"/>
    <w:rsid w:val="00A51AAD"/>
    <w:rsid w:val="00A82709"/>
    <w:rsid w:val="00AC2723"/>
    <w:rsid w:val="00AC4A6F"/>
    <w:rsid w:val="00AD6065"/>
    <w:rsid w:val="00AE6A4F"/>
    <w:rsid w:val="00AF5151"/>
    <w:rsid w:val="00B1184C"/>
    <w:rsid w:val="00B220EC"/>
    <w:rsid w:val="00B5314A"/>
    <w:rsid w:val="00B54068"/>
    <w:rsid w:val="00B56A3A"/>
    <w:rsid w:val="00B77C12"/>
    <w:rsid w:val="00B85EA1"/>
    <w:rsid w:val="00BA03C4"/>
    <w:rsid w:val="00BA14E6"/>
    <w:rsid w:val="00BA3611"/>
    <w:rsid w:val="00BC61D1"/>
    <w:rsid w:val="00BD18E4"/>
    <w:rsid w:val="00BD1E44"/>
    <w:rsid w:val="00BD2172"/>
    <w:rsid w:val="00BD2842"/>
    <w:rsid w:val="00C02953"/>
    <w:rsid w:val="00C1290B"/>
    <w:rsid w:val="00C213EC"/>
    <w:rsid w:val="00C24010"/>
    <w:rsid w:val="00C259F4"/>
    <w:rsid w:val="00C27705"/>
    <w:rsid w:val="00C4050E"/>
    <w:rsid w:val="00C4430D"/>
    <w:rsid w:val="00C451D3"/>
    <w:rsid w:val="00C54D21"/>
    <w:rsid w:val="00C61E7F"/>
    <w:rsid w:val="00C66E73"/>
    <w:rsid w:val="00C91330"/>
    <w:rsid w:val="00CC48E8"/>
    <w:rsid w:val="00CD3DE8"/>
    <w:rsid w:val="00CE633A"/>
    <w:rsid w:val="00CF21EB"/>
    <w:rsid w:val="00D014E1"/>
    <w:rsid w:val="00D01CA1"/>
    <w:rsid w:val="00D1453D"/>
    <w:rsid w:val="00D41F4C"/>
    <w:rsid w:val="00D520C8"/>
    <w:rsid w:val="00D70570"/>
    <w:rsid w:val="00D96084"/>
    <w:rsid w:val="00DA36F5"/>
    <w:rsid w:val="00DA6660"/>
    <w:rsid w:val="00DC5B52"/>
    <w:rsid w:val="00DD0572"/>
    <w:rsid w:val="00DD515F"/>
    <w:rsid w:val="00DE6F27"/>
    <w:rsid w:val="00DF25D7"/>
    <w:rsid w:val="00DF555F"/>
    <w:rsid w:val="00E023B5"/>
    <w:rsid w:val="00E33169"/>
    <w:rsid w:val="00E51AC4"/>
    <w:rsid w:val="00E6528C"/>
    <w:rsid w:val="00E73F4D"/>
    <w:rsid w:val="00EC6A3E"/>
    <w:rsid w:val="00ED30F1"/>
    <w:rsid w:val="00ED57F6"/>
    <w:rsid w:val="00ED6104"/>
    <w:rsid w:val="00ED7D79"/>
    <w:rsid w:val="00EE5F85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7274D"/>
    <w:rsid w:val="00F95333"/>
    <w:rsid w:val="00FA0C58"/>
    <w:rsid w:val="00FA11BE"/>
    <w:rsid w:val="00FA1911"/>
    <w:rsid w:val="00FA5997"/>
    <w:rsid w:val="00FA5AFD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4041ECFB4E934057B7EF021C0F3E2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023E9-8B2B-470B-A0BF-AB9EF0EA292A}"/>
      </w:docPartPr>
      <w:docPartBody>
        <w:p w:rsidR="00DE3DE6" w:rsidRDefault="00DE3DE6" w:rsidP="00DE3DE6">
          <w:pPr>
            <w:pStyle w:val="4041ECFB4E934057B7EF021C0F3E2D1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077EBE"/>
    <w:rsid w:val="00320E97"/>
    <w:rsid w:val="00787EBD"/>
    <w:rsid w:val="008E118A"/>
    <w:rsid w:val="00AB484A"/>
    <w:rsid w:val="00C32372"/>
    <w:rsid w:val="00DE3DE6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F892D9-5AD6-4D20-AA7D-8AD520100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121</TotalTime>
  <Pages>5</Pages>
  <Words>1216</Words>
  <Characters>6692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yolanda.diez</cp:lastModifiedBy>
  <cp:revision>12</cp:revision>
  <cp:lastPrinted>2008-09-26T23:14:00Z</cp:lastPrinted>
  <dcterms:created xsi:type="dcterms:W3CDTF">2020-03-11T11:54:00Z</dcterms:created>
  <dcterms:modified xsi:type="dcterms:W3CDTF">2020-07-15T11:08:00Z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