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405A9819" wp14:editId="6E89D94F">
                <wp:simplePos x="0" y="0"/>
                <wp:positionH relativeFrom="column">
                  <wp:posOffset>350520</wp:posOffset>
                </wp:positionH>
                <wp:positionV relativeFrom="paragraph">
                  <wp:posOffset>-73025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EndPr/>
                            <w:sdtContent>
                              <w:p w:rsidR="00FF1D02" w:rsidRDefault="00FF1D02"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evisión  del cumplimiento de las recomendaciones efectuadas por el CTBG en materia de Publicidad Activa  por parte de</w:t>
                                </w:r>
                              </w:p>
                            </w:sdtContent>
                          </w:sdt>
                          <w:p w:rsidR="00FF1D02" w:rsidRPr="007F1D56" w:rsidRDefault="00583D05" w:rsidP="003F6EDC">
                            <w:pPr>
                              <w:pStyle w:val="Ttulodelboletn"/>
                              <w:jc w:val="center"/>
                              <w:rPr>
                                <w:rFonts w:ascii="Century Gothic" w:hAnsi="Century Gothic"/>
                                <w:sz w:val="40"/>
                                <w:szCs w:val="40"/>
                              </w:rPr>
                            </w:pPr>
                            <w:r>
                              <w:rPr>
                                <w:rFonts w:ascii="Century Gothic" w:hAnsi="Century Gothic"/>
                                <w:sz w:val="40"/>
                                <w:szCs w:val="40"/>
                              </w:rPr>
                              <w:t>UMIVALE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5.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" filled="f" stroked="f">
                <v:textbox inset=",7.2pt,,7.2pt">
                  <w:txbxContent>
                    <w:sdt>
                      <w:sdtPr>
                        <w:rPr>
                          <w:rFonts w:ascii="Century Gothic" w:hAnsi="Century Gothic"/>
                          <w:sz w:val="40"/>
                          <w:szCs w:val="40"/>
                        </w:rPr>
                        <w:id w:val="228783080"/>
                        <w:placeholder>
                          <w:docPart w:val="9F38587DCE4F49368CED0492B4EFD406"/>
                        </w:placeholder>
                      </w:sdtPr>
                      <w:sdtEndPr/>
                      <w:sdtContent>
                        <w:p w:rsidR="00FF1D02" w:rsidRDefault="00FF1D02"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evisión  del cumplimiento de las recomendaciones efectuadas por el CTBG en materia de Publicidad Activa  por parte de</w:t>
                          </w:r>
                        </w:p>
                      </w:sdtContent>
                    </w:sdt>
                    <w:p w:rsidR="00FF1D02" w:rsidRPr="007F1D56" w:rsidRDefault="00583D05" w:rsidP="003F6EDC">
                      <w:pPr>
                        <w:pStyle w:val="Ttulodelboletn"/>
                        <w:jc w:val="center"/>
                        <w:rPr>
                          <w:rFonts w:ascii="Century Gothic" w:hAnsi="Century Gothic"/>
                          <w:sz w:val="40"/>
                          <w:szCs w:val="40"/>
                        </w:rPr>
                      </w:pPr>
                      <w:r>
                        <w:rPr>
                          <w:rFonts w:ascii="Century Gothic" w:hAnsi="Century Gothic"/>
                          <w:sz w:val="40"/>
                          <w:szCs w:val="40"/>
                        </w:rPr>
                        <w:t>UMIVALE</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3962B0EC" wp14:editId="1A2A2614">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FF1D02" w:rsidRDefault="00FF1D02" w:rsidP="00006957">
                            <w:pPr>
                              <w:pStyle w:val="Ttulo2"/>
                              <w:tabs>
                                <w:tab w:val="left" w:pos="142"/>
                              </w:tabs>
                              <w:ind w:left="567"/>
                            </w:pPr>
                            <w:r>
                              <w:rPr>
                                <w:noProof/>
                                <w:lang w:eastAsia="es-ES"/>
                              </w:rPr>
                              <w:drawing>
                                <wp:inline distT="0" distB="0" distL="0" distR="0" wp14:anchorId="7C152149" wp14:editId="51AAF8A9">
                                  <wp:extent cx="1148316" cy="658342"/>
                                  <wp:effectExtent l="0" t="0" r="0" b="8890"/>
                                  <wp:docPr id="6" name="Imagen 6"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FF1D02" w:rsidRDefault="00FF1D02" w:rsidP="00006957">
                      <w:pPr>
                        <w:pStyle w:val="Ttulo2"/>
                        <w:tabs>
                          <w:tab w:val="left" w:pos="142"/>
                        </w:tabs>
                        <w:ind w:left="567"/>
                      </w:pPr>
                      <w:r>
                        <w:rPr>
                          <w:noProof/>
                          <w:lang w:eastAsia="es-ES"/>
                        </w:rPr>
                        <w:drawing>
                          <wp:inline distT="0" distB="0" distL="0" distR="0" wp14:anchorId="7C152149" wp14:editId="51AAF8A9">
                            <wp:extent cx="1148316" cy="658342"/>
                            <wp:effectExtent l="0" t="0" r="0" b="8890"/>
                            <wp:docPr id="6" name="Imagen 6"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5E0386A9" wp14:editId="4851E07A">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1A0F8D"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FC3EDB" w:rsidTr="00F807C4">
        <w:tc>
          <w:tcPr>
            <w:tcW w:w="2093" w:type="dxa"/>
            <w:shd w:val="clear" w:color="auto" w:fill="008A3E"/>
          </w:tcPr>
          <w:p w:rsidR="00243294" w:rsidRPr="00FC3EDB" w:rsidRDefault="00243294" w:rsidP="001C7D84">
            <w:pPr>
              <w:jc w:val="center"/>
              <w:rPr>
                <w:b/>
                <w:color w:val="FFFFFF" w:themeColor="background1"/>
                <w:sz w:val="20"/>
                <w:szCs w:val="20"/>
              </w:rPr>
            </w:pPr>
            <w:r w:rsidRPr="00FC3EDB">
              <w:rPr>
                <w:b/>
                <w:color w:val="FFFFFF" w:themeColor="background1"/>
                <w:sz w:val="20"/>
                <w:szCs w:val="20"/>
              </w:rPr>
              <w:t>Dimensión</w:t>
            </w:r>
          </w:p>
        </w:tc>
        <w:tc>
          <w:tcPr>
            <w:tcW w:w="5386" w:type="dxa"/>
            <w:gridSpan w:val="2"/>
            <w:shd w:val="clear" w:color="auto" w:fill="008A3E"/>
          </w:tcPr>
          <w:p w:rsidR="00243294" w:rsidRPr="00FC3EDB" w:rsidRDefault="00243294" w:rsidP="001C7D84">
            <w:pPr>
              <w:jc w:val="center"/>
              <w:rPr>
                <w:b/>
                <w:color w:val="FFFFFF" w:themeColor="background1"/>
                <w:sz w:val="20"/>
                <w:szCs w:val="20"/>
              </w:rPr>
            </w:pPr>
            <w:r w:rsidRPr="00FC3EDB">
              <w:rPr>
                <w:b/>
                <w:color w:val="FFFFFF" w:themeColor="background1"/>
                <w:sz w:val="20"/>
                <w:szCs w:val="20"/>
              </w:rPr>
              <w:t>Recomendado</w:t>
            </w:r>
          </w:p>
        </w:tc>
        <w:tc>
          <w:tcPr>
            <w:tcW w:w="3203" w:type="dxa"/>
            <w:shd w:val="clear" w:color="auto" w:fill="008A3E"/>
          </w:tcPr>
          <w:p w:rsidR="00243294" w:rsidRPr="00FC3EDB" w:rsidRDefault="00243294" w:rsidP="001C7D84">
            <w:pPr>
              <w:jc w:val="center"/>
              <w:rPr>
                <w:b/>
                <w:color w:val="FFFFFF" w:themeColor="background1"/>
                <w:sz w:val="20"/>
                <w:szCs w:val="20"/>
              </w:rPr>
            </w:pPr>
            <w:r w:rsidRPr="00FC3EDB">
              <w:rPr>
                <w:b/>
                <w:color w:val="FFFFFF" w:themeColor="background1"/>
                <w:sz w:val="20"/>
                <w:szCs w:val="20"/>
              </w:rPr>
              <w:t>Revisión</w:t>
            </w:r>
          </w:p>
        </w:tc>
      </w:tr>
      <w:tr w:rsidR="00243294" w:rsidRPr="00FC3EDB" w:rsidTr="00F807C4">
        <w:tc>
          <w:tcPr>
            <w:tcW w:w="2093" w:type="dxa"/>
            <w:vMerge w:val="restart"/>
            <w:vAlign w:val="center"/>
          </w:tcPr>
          <w:p w:rsidR="00243294" w:rsidRPr="00FC3EDB" w:rsidRDefault="00243294" w:rsidP="006D4C90">
            <w:pPr>
              <w:rPr>
                <w:sz w:val="20"/>
                <w:szCs w:val="20"/>
              </w:rPr>
            </w:pPr>
            <w:r w:rsidRPr="00FC3EDB">
              <w:rPr>
                <w:sz w:val="20"/>
                <w:szCs w:val="20"/>
              </w:rPr>
              <w:t>Localización y estructuración de la Información</w:t>
            </w:r>
          </w:p>
        </w:tc>
        <w:tc>
          <w:tcPr>
            <w:tcW w:w="4819" w:type="dxa"/>
          </w:tcPr>
          <w:p w:rsidR="00243294" w:rsidRPr="00FC3EDB" w:rsidRDefault="00243294" w:rsidP="00AC4A6F">
            <w:pPr>
              <w:rPr>
                <w:sz w:val="20"/>
                <w:szCs w:val="20"/>
              </w:rPr>
            </w:pPr>
            <w:r w:rsidRPr="00FC3EDB">
              <w:rPr>
                <w:sz w:val="20"/>
                <w:szCs w:val="20"/>
              </w:rPr>
              <w:t>Enlace Específico</w:t>
            </w:r>
          </w:p>
        </w:tc>
        <w:tc>
          <w:tcPr>
            <w:tcW w:w="567" w:type="dxa"/>
          </w:tcPr>
          <w:p w:rsidR="00243294" w:rsidRPr="00FC3EDB" w:rsidRDefault="00A1361E" w:rsidP="00F807C4">
            <w:pPr>
              <w:jc w:val="center"/>
              <w:rPr>
                <w:sz w:val="20"/>
                <w:szCs w:val="20"/>
              </w:rPr>
            </w:pPr>
            <w:r w:rsidRPr="00FC3EDB">
              <w:rPr>
                <w:sz w:val="20"/>
                <w:szCs w:val="20"/>
              </w:rPr>
              <w:t>X</w:t>
            </w:r>
          </w:p>
        </w:tc>
        <w:tc>
          <w:tcPr>
            <w:tcW w:w="3203" w:type="dxa"/>
          </w:tcPr>
          <w:p w:rsidR="00243294" w:rsidRPr="00FC3EDB" w:rsidRDefault="00A1361E" w:rsidP="008C5B70">
            <w:pPr>
              <w:rPr>
                <w:sz w:val="20"/>
                <w:szCs w:val="20"/>
              </w:rPr>
            </w:pPr>
            <w:r w:rsidRPr="00FC3EDB">
              <w:rPr>
                <w:sz w:val="20"/>
                <w:szCs w:val="20"/>
              </w:rPr>
              <w:t xml:space="preserve">Si, </w:t>
            </w:r>
            <w:r w:rsidR="008E0535" w:rsidRPr="00FC3EDB">
              <w:rPr>
                <w:sz w:val="20"/>
                <w:szCs w:val="20"/>
              </w:rPr>
              <w:t xml:space="preserve">se ha </w:t>
            </w:r>
            <w:r w:rsidR="008C5B70" w:rsidRPr="00FC3EDB">
              <w:rPr>
                <w:sz w:val="20"/>
                <w:szCs w:val="20"/>
              </w:rPr>
              <w:t>creado un banner</w:t>
            </w:r>
            <w:r w:rsidR="008E0535" w:rsidRPr="00FC3EDB">
              <w:rPr>
                <w:sz w:val="20"/>
                <w:szCs w:val="20"/>
              </w:rPr>
              <w:t xml:space="preserve"> </w:t>
            </w:r>
            <w:r w:rsidR="008C5B70" w:rsidRPr="00FC3EDB">
              <w:rPr>
                <w:sz w:val="20"/>
                <w:szCs w:val="20"/>
              </w:rPr>
              <w:t>en la página home</w:t>
            </w:r>
            <w:r w:rsidR="008E0535" w:rsidRPr="00FC3EDB">
              <w:rPr>
                <w:sz w:val="20"/>
                <w:szCs w:val="20"/>
              </w:rPr>
              <w:t xml:space="preserve"> </w:t>
            </w:r>
          </w:p>
        </w:tc>
      </w:tr>
      <w:tr w:rsidR="00243294" w:rsidRPr="00FC3EDB" w:rsidTr="00F807C4">
        <w:tc>
          <w:tcPr>
            <w:tcW w:w="2093" w:type="dxa"/>
            <w:vMerge/>
          </w:tcPr>
          <w:p w:rsidR="00243294" w:rsidRPr="00FC3EDB" w:rsidRDefault="00243294" w:rsidP="00AC4A6F">
            <w:pPr>
              <w:rPr>
                <w:sz w:val="20"/>
                <w:szCs w:val="20"/>
              </w:rPr>
            </w:pPr>
          </w:p>
        </w:tc>
        <w:tc>
          <w:tcPr>
            <w:tcW w:w="4819" w:type="dxa"/>
          </w:tcPr>
          <w:p w:rsidR="00243294" w:rsidRPr="00FC3EDB" w:rsidRDefault="00243294" w:rsidP="00AC4A6F">
            <w:pPr>
              <w:rPr>
                <w:sz w:val="20"/>
                <w:szCs w:val="20"/>
              </w:rPr>
            </w:pPr>
            <w:r w:rsidRPr="00FC3EDB">
              <w:rPr>
                <w:sz w:val="20"/>
                <w:szCs w:val="20"/>
              </w:rPr>
              <w:t>Estructuración conforme a LTAIBG</w:t>
            </w:r>
          </w:p>
        </w:tc>
        <w:tc>
          <w:tcPr>
            <w:tcW w:w="567" w:type="dxa"/>
          </w:tcPr>
          <w:p w:rsidR="00243294" w:rsidRPr="00FC3EDB" w:rsidRDefault="00A1361E" w:rsidP="00F807C4">
            <w:pPr>
              <w:jc w:val="center"/>
              <w:rPr>
                <w:sz w:val="20"/>
                <w:szCs w:val="20"/>
              </w:rPr>
            </w:pPr>
            <w:r w:rsidRPr="00FC3EDB">
              <w:rPr>
                <w:sz w:val="20"/>
                <w:szCs w:val="20"/>
              </w:rPr>
              <w:t>X</w:t>
            </w:r>
          </w:p>
        </w:tc>
        <w:tc>
          <w:tcPr>
            <w:tcW w:w="3203" w:type="dxa"/>
          </w:tcPr>
          <w:p w:rsidR="00243294" w:rsidRPr="00FC3EDB" w:rsidRDefault="00AB3ACD" w:rsidP="00AB3ACD">
            <w:pPr>
              <w:rPr>
                <w:sz w:val="20"/>
                <w:szCs w:val="20"/>
              </w:rPr>
            </w:pPr>
            <w:r w:rsidRPr="00FC3EDB">
              <w:rPr>
                <w:sz w:val="20"/>
                <w:szCs w:val="20"/>
              </w:rPr>
              <w:t>Si</w:t>
            </w:r>
            <w:r w:rsidR="008E0535" w:rsidRPr="00FC3EDB">
              <w:rPr>
                <w:sz w:val="20"/>
                <w:szCs w:val="20"/>
              </w:rPr>
              <w:t>, de manera similar a la establecida por la LTAIBG</w:t>
            </w:r>
          </w:p>
        </w:tc>
      </w:tr>
      <w:tr w:rsidR="00FB0127" w:rsidRPr="00FC3EDB" w:rsidTr="00F807C4">
        <w:tc>
          <w:tcPr>
            <w:tcW w:w="2093" w:type="dxa"/>
            <w:vMerge w:val="restart"/>
            <w:vAlign w:val="center"/>
          </w:tcPr>
          <w:p w:rsidR="00FB0127" w:rsidRPr="00FC3EDB" w:rsidRDefault="00FB0127" w:rsidP="006D4C90">
            <w:pPr>
              <w:rPr>
                <w:sz w:val="20"/>
                <w:szCs w:val="20"/>
              </w:rPr>
            </w:pPr>
            <w:r w:rsidRPr="00FC3EDB">
              <w:rPr>
                <w:sz w:val="20"/>
                <w:szCs w:val="20"/>
              </w:rPr>
              <w:t>Publicación de Contenidos</w:t>
            </w:r>
          </w:p>
        </w:tc>
        <w:tc>
          <w:tcPr>
            <w:tcW w:w="4819" w:type="dxa"/>
          </w:tcPr>
          <w:p w:rsidR="00FB0127" w:rsidRPr="00FC3EDB" w:rsidRDefault="00FB0127" w:rsidP="00FF1D02">
            <w:pPr>
              <w:rPr>
                <w:sz w:val="20"/>
                <w:szCs w:val="20"/>
              </w:rPr>
            </w:pPr>
            <w:r w:rsidRPr="00FC3EDB">
              <w:rPr>
                <w:sz w:val="20"/>
                <w:szCs w:val="20"/>
              </w:rPr>
              <w:t>Normativa</w:t>
            </w:r>
          </w:p>
        </w:tc>
        <w:tc>
          <w:tcPr>
            <w:tcW w:w="567" w:type="dxa"/>
          </w:tcPr>
          <w:p w:rsidR="00FB0127" w:rsidRPr="00FC3EDB" w:rsidRDefault="00FB0127" w:rsidP="00F807C4">
            <w:pPr>
              <w:jc w:val="center"/>
              <w:rPr>
                <w:sz w:val="20"/>
                <w:szCs w:val="20"/>
              </w:rPr>
            </w:pPr>
            <w:r w:rsidRPr="00FC3EDB">
              <w:rPr>
                <w:sz w:val="20"/>
                <w:szCs w:val="20"/>
              </w:rPr>
              <w:t>X</w:t>
            </w:r>
          </w:p>
        </w:tc>
        <w:tc>
          <w:tcPr>
            <w:tcW w:w="3203" w:type="dxa"/>
          </w:tcPr>
          <w:p w:rsidR="00FB0127" w:rsidRPr="00FC3EDB" w:rsidRDefault="00FB0127" w:rsidP="00AC4A6F">
            <w:pPr>
              <w:rPr>
                <w:sz w:val="20"/>
                <w:szCs w:val="20"/>
              </w:rPr>
            </w:pPr>
            <w:r w:rsidRPr="00FC3EDB">
              <w:rPr>
                <w:sz w:val="20"/>
                <w:szCs w:val="20"/>
              </w:rPr>
              <w:t>Si, con enlaces a los textos</w:t>
            </w:r>
          </w:p>
        </w:tc>
      </w:tr>
      <w:tr w:rsidR="00FB0127" w:rsidRPr="00FC3EDB" w:rsidTr="00F807C4">
        <w:tc>
          <w:tcPr>
            <w:tcW w:w="2093" w:type="dxa"/>
            <w:vMerge/>
          </w:tcPr>
          <w:p w:rsidR="00FB0127" w:rsidRPr="00FC3EDB" w:rsidRDefault="00FB0127" w:rsidP="00AC4A6F">
            <w:pPr>
              <w:rPr>
                <w:sz w:val="20"/>
                <w:szCs w:val="20"/>
              </w:rPr>
            </w:pPr>
          </w:p>
        </w:tc>
        <w:tc>
          <w:tcPr>
            <w:tcW w:w="4819" w:type="dxa"/>
          </w:tcPr>
          <w:p w:rsidR="00FB0127" w:rsidRPr="00FC3EDB" w:rsidRDefault="00FB0127" w:rsidP="00FF1D02">
            <w:pPr>
              <w:rPr>
                <w:sz w:val="20"/>
                <w:szCs w:val="20"/>
              </w:rPr>
            </w:pPr>
            <w:r w:rsidRPr="00FC3EDB">
              <w:rPr>
                <w:sz w:val="20"/>
                <w:szCs w:val="20"/>
              </w:rPr>
              <w:t>Planes y Programas</w:t>
            </w:r>
          </w:p>
        </w:tc>
        <w:tc>
          <w:tcPr>
            <w:tcW w:w="567" w:type="dxa"/>
          </w:tcPr>
          <w:p w:rsidR="00FB0127" w:rsidRPr="00FC3EDB" w:rsidRDefault="00FB0127" w:rsidP="00F807C4">
            <w:pPr>
              <w:jc w:val="center"/>
              <w:rPr>
                <w:sz w:val="20"/>
                <w:szCs w:val="20"/>
              </w:rPr>
            </w:pPr>
            <w:r w:rsidRPr="00FC3EDB">
              <w:rPr>
                <w:sz w:val="20"/>
                <w:szCs w:val="20"/>
              </w:rPr>
              <w:t>X</w:t>
            </w:r>
          </w:p>
        </w:tc>
        <w:tc>
          <w:tcPr>
            <w:tcW w:w="3203" w:type="dxa"/>
          </w:tcPr>
          <w:p w:rsidR="00FB0127" w:rsidRPr="00FC3EDB" w:rsidRDefault="00FB0127" w:rsidP="00624A18">
            <w:pPr>
              <w:rPr>
                <w:sz w:val="20"/>
                <w:szCs w:val="20"/>
              </w:rPr>
            </w:pPr>
            <w:r w:rsidRPr="00FC3EDB">
              <w:rPr>
                <w:sz w:val="20"/>
                <w:szCs w:val="20"/>
              </w:rPr>
              <w:t xml:space="preserve">No, el documento al que se enlaza es un resumen de la política de calidad de la Mutua </w:t>
            </w:r>
          </w:p>
        </w:tc>
      </w:tr>
      <w:tr w:rsidR="00FB0127" w:rsidRPr="00FC3EDB" w:rsidTr="00F807C4">
        <w:tc>
          <w:tcPr>
            <w:tcW w:w="2093" w:type="dxa"/>
            <w:vMerge/>
          </w:tcPr>
          <w:p w:rsidR="00FB0127" w:rsidRPr="00FC3EDB" w:rsidRDefault="00FB0127" w:rsidP="00AC4A6F">
            <w:pPr>
              <w:rPr>
                <w:sz w:val="20"/>
                <w:szCs w:val="20"/>
              </w:rPr>
            </w:pPr>
          </w:p>
        </w:tc>
        <w:tc>
          <w:tcPr>
            <w:tcW w:w="4819" w:type="dxa"/>
          </w:tcPr>
          <w:p w:rsidR="00FB0127" w:rsidRPr="00FC3EDB" w:rsidRDefault="00FB0127" w:rsidP="00363E1C">
            <w:pPr>
              <w:rPr>
                <w:sz w:val="20"/>
                <w:szCs w:val="20"/>
              </w:rPr>
            </w:pPr>
            <w:r w:rsidRPr="00FC3EDB">
              <w:rPr>
                <w:sz w:val="20"/>
                <w:szCs w:val="20"/>
              </w:rPr>
              <w:t xml:space="preserve">Presupuestos </w:t>
            </w:r>
          </w:p>
        </w:tc>
        <w:tc>
          <w:tcPr>
            <w:tcW w:w="567" w:type="dxa"/>
          </w:tcPr>
          <w:p w:rsidR="00FB0127" w:rsidRPr="00FC3EDB" w:rsidRDefault="00FB0127" w:rsidP="00F807C4">
            <w:pPr>
              <w:jc w:val="center"/>
              <w:rPr>
                <w:sz w:val="20"/>
                <w:szCs w:val="20"/>
              </w:rPr>
            </w:pPr>
            <w:r w:rsidRPr="00FC3EDB">
              <w:rPr>
                <w:sz w:val="20"/>
                <w:szCs w:val="20"/>
              </w:rPr>
              <w:t>X</w:t>
            </w:r>
          </w:p>
        </w:tc>
        <w:tc>
          <w:tcPr>
            <w:tcW w:w="3203" w:type="dxa"/>
          </w:tcPr>
          <w:p w:rsidR="00FB0127" w:rsidRPr="00FC3EDB" w:rsidRDefault="00FB0127" w:rsidP="00AC4A6F">
            <w:pPr>
              <w:rPr>
                <w:sz w:val="20"/>
                <w:szCs w:val="20"/>
              </w:rPr>
            </w:pPr>
            <w:r w:rsidRPr="00FC3EDB">
              <w:rPr>
                <w:sz w:val="20"/>
                <w:szCs w:val="20"/>
              </w:rPr>
              <w:t>Si</w:t>
            </w:r>
          </w:p>
        </w:tc>
      </w:tr>
      <w:tr w:rsidR="00FB0127" w:rsidRPr="00FC3EDB" w:rsidTr="00F807C4">
        <w:tc>
          <w:tcPr>
            <w:tcW w:w="2093" w:type="dxa"/>
            <w:vMerge/>
          </w:tcPr>
          <w:p w:rsidR="00FB0127" w:rsidRPr="00FC3EDB" w:rsidRDefault="00FB0127" w:rsidP="00AC4A6F">
            <w:pPr>
              <w:rPr>
                <w:sz w:val="20"/>
                <w:szCs w:val="20"/>
              </w:rPr>
            </w:pPr>
          </w:p>
        </w:tc>
        <w:tc>
          <w:tcPr>
            <w:tcW w:w="4819" w:type="dxa"/>
          </w:tcPr>
          <w:p w:rsidR="00FB0127" w:rsidRPr="00FC3EDB" w:rsidRDefault="00FB0127" w:rsidP="00C3228C">
            <w:pPr>
              <w:rPr>
                <w:sz w:val="20"/>
                <w:szCs w:val="20"/>
              </w:rPr>
            </w:pPr>
            <w:r w:rsidRPr="00FC3EDB">
              <w:rPr>
                <w:sz w:val="20"/>
                <w:szCs w:val="20"/>
              </w:rPr>
              <w:t>Ejecución presupuestaria</w:t>
            </w:r>
          </w:p>
        </w:tc>
        <w:tc>
          <w:tcPr>
            <w:tcW w:w="567" w:type="dxa"/>
          </w:tcPr>
          <w:p w:rsidR="00FB0127" w:rsidRPr="00FC3EDB" w:rsidRDefault="00FB0127" w:rsidP="00F807C4">
            <w:pPr>
              <w:jc w:val="center"/>
              <w:rPr>
                <w:sz w:val="20"/>
                <w:szCs w:val="20"/>
              </w:rPr>
            </w:pPr>
            <w:r w:rsidRPr="00FC3EDB">
              <w:rPr>
                <w:sz w:val="20"/>
                <w:szCs w:val="20"/>
              </w:rPr>
              <w:t>X</w:t>
            </w:r>
          </w:p>
        </w:tc>
        <w:tc>
          <w:tcPr>
            <w:tcW w:w="3203" w:type="dxa"/>
          </w:tcPr>
          <w:p w:rsidR="00FB0127" w:rsidRPr="00FC3EDB" w:rsidRDefault="00FB0127" w:rsidP="00AC4A6F">
            <w:pPr>
              <w:rPr>
                <w:sz w:val="20"/>
                <w:szCs w:val="20"/>
              </w:rPr>
            </w:pPr>
            <w:r w:rsidRPr="00FC3EDB">
              <w:rPr>
                <w:sz w:val="20"/>
                <w:szCs w:val="20"/>
              </w:rPr>
              <w:t>Si</w:t>
            </w:r>
          </w:p>
        </w:tc>
      </w:tr>
      <w:tr w:rsidR="00FB0127" w:rsidRPr="00FC3EDB" w:rsidTr="00F807C4">
        <w:tc>
          <w:tcPr>
            <w:tcW w:w="2093" w:type="dxa"/>
            <w:vMerge/>
          </w:tcPr>
          <w:p w:rsidR="00FB0127" w:rsidRPr="00FC3EDB" w:rsidRDefault="00FB0127" w:rsidP="00AC4A6F">
            <w:pPr>
              <w:rPr>
                <w:sz w:val="20"/>
                <w:szCs w:val="20"/>
              </w:rPr>
            </w:pPr>
          </w:p>
        </w:tc>
        <w:tc>
          <w:tcPr>
            <w:tcW w:w="4819" w:type="dxa"/>
          </w:tcPr>
          <w:p w:rsidR="00FB0127" w:rsidRPr="00FC3EDB" w:rsidRDefault="00FB0127" w:rsidP="008F546C">
            <w:pPr>
              <w:rPr>
                <w:sz w:val="20"/>
                <w:szCs w:val="20"/>
              </w:rPr>
            </w:pPr>
            <w:r w:rsidRPr="00FC3EDB">
              <w:rPr>
                <w:sz w:val="20"/>
                <w:szCs w:val="20"/>
              </w:rPr>
              <w:t>Indemnizaciones al cese de Altos Cargos</w:t>
            </w:r>
          </w:p>
        </w:tc>
        <w:tc>
          <w:tcPr>
            <w:tcW w:w="567" w:type="dxa"/>
          </w:tcPr>
          <w:p w:rsidR="00FB0127" w:rsidRPr="00FC3EDB" w:rsidRDefault="00FB0127" w:rsidP="00F807C4">
            <w:pPr>
              <w:jc w:val="center"/>
              <w:rPr>
                <w:sz w:val="20"/>
                <w:szCs w:val="20"/>
              </w:rPr>
            </w:pPr>
            <w:r w:rsidRPr="00FC3EDB">
              <w:rPr>
                <w:sz w:val="20"/>
                <w:szCs w:val="20"/>
              </w:rPr>
              <w:t>X</w:t>
            </w:r>
          </w:p>
        </w:tc>
        <w:tc>
          <w:tcPr>
            <w:tcW w:w="3203" w:type="dxa"/>
          </w:tcPr>
          <w:p w:rsidR="00FB0127" w:rsidRPr="00FC3EDB" w:rsidRDefault="00FB0127" w:rsidP="00AC4A6F">
            <w:pPr>
              <w:rPr>
                <w:sz w:val="20"/>
                <w:szCs w:val="20"/>
              </w:rPr>
            </w:pPr>
            <w:r w:rsidRPr="00FC3EDB">
              <w:rPr>
                <w:sz w:val="20"/>
                <w:szCs w:val="20"/>
              </w:rPr>
              <w:t>No</w:t>
            </w:r>
          </w:p>
        </w:tc>
      </w:tr>
      <w:tr w:rsidR="00F807C4" w:rsidRPr="00FC3EDB" w:rsidTr="00FB0127">
        <w:tc>
          <w:tcPr>
            <w:tcW w:w="2093" w:type="dxa"/>
            <w:vMerge w:val="restart"/>
            <w:vAlign w:val="center"/>
          </w:tcPr>
          <w:p w:rsidR="00F807C4" w:rsidRPr="00FC3EDB" w:rsidRDefault="00F807C4" w:rsidP="00FB0127">
            <w:pPr>
              <w:rPr>
                <w:sz w:val="20"/>
                <w:szCs w:val="20"/>
              </w:rPr>
            </w:pPr>
            <w:r w:rsidRPr="00FC3EDB">
              <w:rPr>
                <w:sz w:val="20"/>
                <w:szCs w:val="20"/>
              </w:rPr>
              <w:t>Calidad de la Información</w:t>
            </w:r>
          </w:p>
        </w:tc>
        <w:tc>
          <w:tcPr>
            <w:tcW w:w="4819" w:type="dxa"/>
          </w:tcPr>
          <w:p w:rsidR="00F807C4" w:rsidRPr="00FC3EDB" w:rsidRDefault="00F807C4" w:rsidP="00AC4A6F">
            <w:pPr>
              <w:rPr>
                <w:sz w:val="20"/>
                <w:szCs w:val="20"/>
              </w:rPr>
            </w:pPr>
            <w:r w:rsidRPr="00FC3EDB">
              <w:rPr>
                <w:sz w:val="20"/>
                <w:szCs w:val="20"/>
              </w:rPr>
              <w:t>Estructuración</w:t>
            </w:r>
          </w:p>
        </w:tc>
        <w:tc>
          <w:tcPr>
            <w:tcW w:w="567" w:type="dxa"/>
          </w:tcPr>
          <w:p w:rsidR="00F807C4" w:rsidRPr="00FC3EDB" w:rsidRDefault="00F807C4" w:rsidP="00F807C4">
            <w:pPr>
              <w:jc w:val="center"/>
              <w:rPr>
                <w:sz w:val="20"/>
                <w:szCs w:val="20"/>
              </w:rPr>
            </w:pPr>
          </w:p>
        </w:tc>
        <w:tc>
          <w:tcPr>
            <w:tcW w:w="3203" w:type="dxa"/>
          </w:tcPr>
          <w:p w:rsidR="00F807C4" w:rsidRPr="00FC3EDB" w:rsidRDefault="00F807C4" w:rsidP="00C3228C">
            <w:pPr>
              <w:rPr>
                <w:sz w:val="20"/>
                <w:szCs w:val="20"/>
              </w:rPr>
            </w:pPr>
          </w:p>
        </w:tc>
      </w:tr>
      <w:tr w:rsidR="00F807C4" w:rsidRPr="00FC3EDB" w:rsidTr="00F807C4">
        <w:tc>
          <w:tcPr>
            <w:tcW w:w="2093" w:type="dxa"/>
            <w:vMerge/>
          </w:tcPr>
          <w:p w:rsidR="00F807C4" w:rsidRPr="00FC3EDB" w:rsidRDefault="00F807C4" w:rsidP="00AC4A6F">
            <w:pPr>
              <w:rPr>
                <w:sz w:val="20"/>
                <w:szCs w:val="20"/>
              </w:rPr>
            </w:pPr>
          </w:p>
        </w:tc>
        <w:tc>
          <w:tcPr>
            <w:tcW w:w="4819" w:type="dxa"/>
          </w:tcPr>
          <w:p w:rsidR="00F807C4" w:rsidRPr="00FC3EDB" w:rsidRDefault="00F807C4" w:rsidP="00AC4A6F">
            <w:pPr>
              <w:rPr>
                <w:sz w:val="20"/>
                <w:szCs w:val="20"/>
              </w:rPr>
            </w:pPr>
            <w:r w:rsidRPr="00FC3EDB">
              <w:rPr>
                <w:sz w:val="20"/>
                <w:szCs w:val="20"/>
              </w:rPr>
              <w:t>Accesibilidad</w:t>
            </w:r>
          </w:p>
        </w:tc>
        <w:tc>
          <w:tcPr>
            <w:tcW w:w="567" w:type="dxa"/>
          </w:tcPr>
          <w:p w:rsidR="00F807C4" w:rsidRPr="00FC3EDB" w:rsidRDefault="00F807C4" w:rsidP="00F807C4">
            <w:pPr>
              <w:jc w:val="center"/>
              <w:rPr>
                <w:sz w:val="20"/>
                <w:szCs w:val="20"/>
              </w:rPr>
            </w:pPr>
          </w:p>
        </w:tc>
        <w:tc>
          <w:tcPr>
            <w:tcW w:w="3203" w:type="dxa"/>
          </w:tcPr>
          <w:p w:rsidR="00F807C4" w:rsidRPr="00FC3EDB" w:rsidRDefault="00F807C4" w:rsidP="00AC4A6F">
            <w:pPr>
              <w:rPr>
                <w:sz w:val="20"/>
                <w:szCs w:val="20"/>
              </w:rPr>
            </w:pPr>
          </w:p>
        </w:tc>
      </w:tr>
      <w:tr w:rsidR="00F807C4" w:rsidRPr="00FC3EDB" w:rsidTr="00F807C4">
        <w:trPr>
          <w:trHeight w:val="400"/>
        </w:trPr>
        <w:tc>
          <w:tcPr>
            <w:tcW w:w="2093" w:type="dxa"/>
            <w:vMerge/>
            <w:vAlign w:val="center"/>
          </w:tcPr>
          <w:p w:rsidR="00F807C4" w:rsidRPr="00FC3EDB" w:rsidRDefault="00F807C4" w:rsidP="006D4C90">
            <w:pPr>
              <w:rPr>
                <w:sz w:val="20"/>
                <w:szCs w:val="20"/>
              </w:rPr>
            </w:pPr>
          </w:p>
        </w:tc>
        <w:tc>
          <w:tcPr>
            <w:tcW w:w="4819" w:type="dxa"/>
          </w:tcPr>
          <w:p w:rsidR="00F807C4" w:rsidRPr="00FC3EDB" w:rsidRDefault="00F807C4" w:rsidP="00243294">
            <w:pPr>
              <w:rPr>
                <w:sz w:val="20"/>
                <w:szCs w:val="20"/>
              </w:rPr>
            </w:pPr>
            <w:r w:rsidRPr="00FC3EDB">
              <w:rPr>
                <w:sz w:val="20"/>
                <w:szCs w:val="20"/>
              </w:rPr>
              <w:t>Claridad</w:t>
            </w:r>
          </w:p>
        </w:tc>
        <w:tc>
          <w:tcPr>
            <w:tcW w:w="567" w:type="dxa"/>
          </w:tcPr>
          <w:p w:rsidR="00F807C4" w:rsidRPr="00FC3EDB" w:rsidRDefault="00F807C4" w:rsidP="00F807C4">
            <w:pPr>
              <w:jc w:val="center"/>
              <w:rPr>
                <w:sz w:val="20"/>
                <w:szCs w:val="20"/>
              </w:rPr>
            </w:pPr>
          </w:p>
        </w:tc>
        <w:tc>
          <w:tcPr>
            <w:tcW w:w="3203" w:type="dxa"/>
          </w:tcPr>
          <w:p w:rsidR="00F807C4" w:rsidRPr="00FC3EDB" w:rsidRDefault="00F807C4" w:rsidP="00AC4A6F">
            <w:pPr>
              <w:rPr>
                <w:sz w:val="20"/>
                <w:szCs w:val="20"/>
              </w:rPr>
            </w:pPr>
          </w:p>
        </w:tc>
      </w:tr>
      <w:tr w:rsidR="00F807C4" w:rsidRPr="00FC3EDB" w:rsidTr="00F807C4">
        <w:tc>
          <w:tcPr>
            <w:tcW w:w="2093" w:type="dxa"/>
            <w:vMerge/>
          </w:tcPr>
          <w:p w:rsidR="00F807C4" w:rsidRPr="00FC3EDB" w:rsidRDefault="00F807C4" w:rsidP="00AC4A6F">
            <w:pPr>
              <w:rPr>
                <w:sz w:val="20"/>
                <w:szCs w:val="20"/>
              </w:rPr>
            </w:pPr>
          </w:p>
        </w:tc>
        <w:tc>
          <w:tcPr>
            <w:tcW w:w="4819" w:type="dxa"/>
          </w:tcPr>
          <w:p w:rsidR="00F807C4" w:rsidRPr="00FC3EDB" w:rsidRDefault="00F807C4" w:rsidP="00AC4A6F">
            <w:pPr>
              <w:rPr>
                <w:sz w:val="20"/>
                <w:szCs w:val="20"/>
              </w:rPr>
            </w:pPr>
            <w:r w:rsidRPr="00FC3EDB">
              <w:rPr>
                <w:sz w:val="20"/>
                <w:szCs w:val="20"/>
              </w:rPr>
              <w:t xml:space="preserve">Reutilización </w:t>
            </w:r>
          </w:p>
        </w:tc>
        <w:tc>
          <w:tcPr>
            <w:tcW w:w="567" w:type="dxa"/>
          </w:tcPr>
          <w:p w:rsidR="00F807C4" w:rsidRPr="00FC3EDB" w:rsidRDefault="00BD6F7F" w:rsidP="00F807C4">
            <w:pPr>
              <w:jc w:val="center"/>
              <w:rPr>
                <w:sz w:val="20"/>
                <w:szCs w:val="20"/>
              </w:rPr>
            </w:pPr>
            <w:r w:rsidRPr="00FC3EDB">
              <w:rPr>
                <w:sz w:val="20"/>
                <w:szCs w:val="20"/>
              </w:rPr>
              <w:t>X</w:t>
            </w:r>
          </w:p>
        </w:tc>
        <w:tc>
          <w:tcPr>
            <w:tcW w:w="3203" w:type="dxa"/>
          </w:tcPr>
          <w:p w:rsidR="00F807C4" w:rsidRPr="00FC3EDB" w:rsidRDefault="00BD6F7F" w:rsidP="00AC4A6F">
            <w:pPr>
              <w:rPr>
                <w:sz w:val="20"/>
                <w:szCs w:val="20"/>
              </w:rPr>
            </w:pPr>
            <w:r w:rsidRPr="00FC3EDB">
              <w:rPr>
                <w:sz w:val="20"/>
                <w:szCs w:val="20"/>
              </w:rPr>
              <w:t>Si, prácticamente todos los contenidos se ofrecen en formatos reutilizables</w:t>
            </w:r>
          </w:p>
        </w:tc>
      </w:tr>
      <w:tr w:rsidR="00F807C4" w:rsidRPr="00FC3EDB" w:rsidTr="00F807C4">
        <w:tc>
          <w:tcPr>
            <w:tcW w:w="2093" w:type="dxa"/>
            <w:vMerge/>
          </w:tcPr>
          <w:p w:rsidR="00F807C4" w:rsidRPr="00FC3EDB" w:rsidRDefault="00F807C4" w:rsidP="00AC4A6F">
            <w:pPr>
              <w:rPr>
                <w:sz w:val="20"/>
                <w:szCs w:val="20"/>
              </w:rPr>
            </w:pPr>
          </w:p>
        </w:tc>
        <w:tc>
          <w:tcPr>
            <w:tcW w:w="4819" w:type="dxa"/>
          </w:tcPr>
          <w:p w:rsidR="00F807C4" w:rsidRPr="00FC3EDB" w:rsidRDefault="00F807C4" w:rsidP="00AC4A6F">
            <w:pPr>
              <w:rPr>
                <w:sz w:val="20"/>
                <w:szCs w:val="20"/>
              </w:rPr>
            </w:pPr>
            <w:r w:rsidRPr="00FC3EDB">
              <w:rPr>
                <w:sz w:val="20"/>
                <w:szCs w:val="20"/>
              </w:rPr>
              <w:t>Datación y Actualización</w:t>
            </w:r>
          </w:p>
        </w:tc>
        <w:tc>
          <w:tcPr>
            <w:tcW w:w="567" w:type="dxa"/>
          </w:tcPr>
          <w:p w:rsidR="00F807C4" w:rsidRPr="00FC3EDB" w:rsidRDefault="00BD6F7F" w:rsidP="00F807C4">
            <w:pPr>
              <w:jc w:val="center"/>
              <w:rPr>
                <w:sz w:val="20"/>
                <w:szCs w:val="20"/>
              </w:rPr>
            </w:pPr>
            <w:r w:rsidRPr="00FC3EDB">
              <w:rPr>
                <w:sz w:val="20"/>
                <w:szCs w:val="20"/>
              </w:rPr>
              <w:t>X</w:t>
            </w:r>
          </w:p>
        </w:tc>
        <w:tc>
          <w:tcPr>
            <w:tcW w:w="3203" w:type="dxa"/>
          </w:tcPr>
          <w:p w:rsidR="00F807C4" w:rsidRPr="00FC3EDB" w:rsidRDefault="00BD6F7F" w:rsidP="00AC4A6F">
            <w:pPr>
              <w:rPr>
                <w:sz w:val="20"/>
                <w:szCs w:val="20"/>
              </w:rPr>
            </w:pPr>
            <w:r w:rsidRPr="00FC3EDB">
              <w:rPr>
                <w:sz w:val="20"/>
                <w:szCs w:val="20"/>
              </w:rPr>
              <w:t>Si, se ha incluido una referencia a la fecha de actualización de la información.</w:t>
            </w:r>
          </w:p>
        </w:tc>
      </w:tr>
      <w:tr w:rsidR="00F807C4" w:rsidRPr="00FC3EDB" w:rsidTr="00F807C4">
        <w:tc>
          <w:tcPr>
            <w:tcW w:w="6912" w:type="dxa"/>
            <w:gridSpan w:val="2"/>
          </w:tcPr>
          <w:p w:rsidR="00F807C4" w:rsidRPr="00FC3EDB" w:rsidRDefault="00F807C4" w:rsidP="00F807C4">
            <w:pPr>
              <w:jc w:val="right"/>
              <w:rPr>
                <w:b/>
                <w:sz w:val="20"/>
                <w:szCs w:val="20"/>
              </w:rPr>
            </w:pPr>
            <w:r w:rsidRPr="00FC3EDB">
              <w:rPr>
                <w:b/>
                <w:sz w:val="20"/>
                <w:szCs w:val="20"/>
              </w:rPr>
              <w:t>Total Recomendaciones</w:t>
            </w:r>
          </w:p>
        </w:tc>
        <w:tc>
          <w:tcPr>
            <w:tcW w:w="567" w:type="dxa"/>
          </w:tcPr>
          <w:p w:rsidR="00F807C4" w:rsidRPr="00FC3EDB" w:rsidRDefault="00CA3AB8" w:rsidP="00F807C4">
            <w:pPr>
              <w:jc w:val="center"/>
              <w:rPr>
                <w:b/>
                <w:sz w:val="20"/>
                <w:szCs w:val="20"/>
              </w:rPr>
            </w:pPr>
            <w:r w:rsidRPr="00FC3EDB">
              <w:rPr>
                <w:b/>
                <w:sz w:val="20"/>
                <w:szCs w:val="20"/>
              </w:rPr>
              <w:t>9</w:t>
            </w:r>
          </w:p>
        </w:tc>
        <w:tc>
          <w:tcPr>
            <w:tcW w:w="3203" w:type="dxa"/>
          </w:tcPr>
          <w:p w:rsidR="00F807C4" w:rsidRPr="00FC3EDB" w:rsidRDefault="00F807C4" w:rsidP="00F807C4">
            <w:pPr>
              <w:jc w:val="right"/>
              <w:rPr>
                <w:b/>
                <w:sz w:val="20"/>
                <w:szCs w:val="20"/>
              </w:rPr>
            </w:pPr>
          </w:p>
        </w:tc>
      </w:tr>
    </w:tbl>
    <w:p w:rsidR="003A1694" w:rsidRDefault="003A1694" w:rsidP="00AC4A6F"/>
    <w:p w:rsidR="003A1694" w:rsidRDefault="001C7D84" w:rsidP="00BA14E6">
      <w:pPr>
        <w:spacing w:line="276" w:lineRule="auto"/>
        <w:jc w:val="both"/>
      </w:pPr>
      <w:r>
        <w:t xml:space="preserve">De las </w:t>
      </w:r>
      <w:r w:rsidR="00CA3AB8">
        <w:t>nueve</w:t>
      </w:r>
      <w:r>
        <w:t xml:space="preserve"> recomendaciones efectuadas se han aplicado </w:t>
      </w:r>
      <w:r w:rsidR="00CA3AB8">
        <w:t>ocho</w:t>
      </w:r>
      <w:r>
        <w:t xml:space="preserve">, lo que supone un </w:t>
      </w:r>
      <w:r w:rsidR="00CA3AB8">
        <w:t>89</w:t>
      </w:r>
      <w:r>
        <w:t>% del total</w:t>
      </w:r>
      <w:r w:rsidR="00504C73">
        <w:t xml:space="preserve">. </w:t>
      </w:r>
    </w:p>
    <w:p w:rsidR="001C7D84" w:rsidRDefault="001C7D84" w:rsidP="001C7D84">
      <w:pPr>
        <w:jc w:val="both"/>
      </w:pPr>
    </w:p>
    <w:p w:rsidR="00CA3AB8" w:rsidRDefault="00FB0127" w:rsidP="00FB0127">
      <w:pPr>
        <w:spacing w:line="276" w:lineRule="auto"/>
        <w:jc w:val="both"/>
      </w:pPr>
      <w:r>
        <w:t xml:space="preserve">Es especialmente reseñable la inclusión en la página home de UMIVALE de un banner que da acceso al portal de transparencia de la entidad y la estructuración de la información de manera muy similar al patrón definido por la LTAIBG. También la inclusión al final del portal de transparencia de la fecha de actualización de la información. </w:t>
      </w:r>
    </w:p>
    <w:p w:rsidR="00FA5AFD" w:rsidRDefault="00FA5AFD" w:rsidP="00AC4A6F"/>
    <w:p w:rsidR="003F6EDC" w:rsidRPr="002D27E4" w:rsidRDefault="00EC5A12" w:rsidP="003F6EDC">
      <w:pPr>
        <w:pStyle w:val="Cuerpodelboletn"/>
        <w:numPr>
          <w:ilvl w:val="0"/>
          <w:numId w:val="2"/>
        </w:numPr>
        <w:rPr>
          <w:b/>
          <w:color w:val="50866C"/>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32992" behindDoc="0" locked="0" layoutInCell="1" allowOverlap="1" wp14:anchorId="1FA07076" wp14:editId="69073170">
                <wp:simplePos x="0" y="0"/>
                <wp:positionH relativeFrom="page">
                  <wp:posOffset>-9525</wp:posOffset>
                </wp:positionH>
                <wp:positionV relativeFrom="page">
                  <wp:posOffset>983615</wp:posOffset>
                </wp:positionV>
                <wp:extent cx="8001000" cy="173990"/>
                <wp:effectExtent l="0" t="0" r="0" b="0"/>
                <wp:wrapTight wrapText="bothSides">
                  <wp:wrapPolygon edited="0">
                    <wp:start x="0" y="0"/>
                    <wp:lineTo x="0" y="18920"/>
                    <wp:lineTo x="21549" y="18920"/>
                    <wp:lineTo x="21549" y="0"/>
                    <wp:lineTo x="0" y="0"/>
                  </wp:wrapPolygon>
                </wp:wrapTight>
                <wp:docPr id="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7.45pt;width:630pt;height:13.7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" fillcolor="#c5ddd2" stroked="f">
                <v:textbox inset=",7.2pt,,7.2pt"/>
                <w10:wrap type="tight" anchorx="page" anchory="page"/>
              </v:rect>
            </w:pict>
          </mc:Fallback>
        </mc:AlternateContent>
      </w: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EC5A12" w:rsidP="00F05E2C">
      <w:pPr>
        <w:pStyle w:val="Cuerpodelboletn"/>
        <w:rPr>
          <w:lang w:bidi="es-ES"/>
        </w:rPr>
      </w:pPr>
      <w:r w:rsidRPr="00B1184C">
        <w:rPr>
          <w:rFonts w:ascii="Arial" w:eastAsia="Arial" w:hAnsi="Arial" w:cs="Arial"/>
          <w:noProof/>
          <w:lang w:eastAsia="es-ES"/>
        </w:rPr>
        <mc:AlternateContent>
          <mc:Choice Requires="wps">
            <w:drawing>
              <wp:anchor distT="0" distB="0" distL="114300" distR="114300" simplePos="0" relativeHeight="251730944" behindDoc="0" locked="0" layoutInCell="1" allowOverlap="1" wp14:anchorId="15980103" wp14:editId="036B7ED9">
                <wp:simplePos x="0" y="0"/>
                <wp:positionH relativeFrom="page">
                  <wp:posOffset>-9525</wp:posOffset>
                </wp:positionH>
                <wp:positionV relativeFrom="page">
                  <wp:posOffset>-12700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EC5A12" w:rsidRPr="00F31BC3" w:rsidRDefault="00EC5A12" w:rsidP="00EC5A12">
                            <w:r w:rsidRPr="00965C69">
                              <w:rPr>
                                <w:noProof/>
                                <w:lang w:eastAsia="es-ES"/>
                              </w:rPr>
                              <w:drawing>
                                <wp:inline distT="0" distB="0" distL="0" distR="0" wp14:anchorId="2A271799" wp14:editId="38C120D9">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left:0;text-align:left;margin-left:-.75pt;margin-top:-1pt;width:630pt;height:78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" fillcolor="#50866c" stroked="f">
                <v:textbox inset=",7.2pt,,7.2pt">
                  <w:txbxContent>
                    <w:p w:rsidR="00EC5A12" w:rsidRPr="00F31BC3" w:rsidRDefault="00EC5A12" w:rsidP="00EC5A12">
                      <w:r w:rsidRPr="00965C69">
                        <w:rPr>
                          <w:noProof/>
                          <w:lang w:eastAsia="es-ES"/>
                        </w:rPr>
                        <w:drawing>
                          <wp:inline distT="0" distB="0" distL="0" distR="0" wp14:anchorId="2A271799" wp14:editId="38C120D9">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FA5AFD" w:rsidRPr="00BE3920" w:rsidTr="00FA5AFD">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FA5AFD" w:rsidRPr="00BE3920" w:rsidRDefault="00FA5AFD" w:rsidP="00FA5AFD">
            <w:pPr>
              <w:rPr>
                <w:rFonts w:eastAsia="Times New Roman" w:cs="Arial"/>
                <w:b/>
                <w:bCs/>
                <w:color w:val="FFFFFF"/>
                <w:sz w:val="18"/>
                <w:szCs w:val="18"/>
                <w:lang w:eastAsia="es-ES"/>
              </w:rPr>
            </w:pPr>
            <w:r w:rsidRPr="00BE392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BE3920" w:rsidRDefault="00FA5AFD" w:rsidP="00104DE9">
            <w:pPr>
              <w:jc w:val="center"/>
              <w:rPr>
                <w:rFonts w:eastAsia="Times New Roman" w:cs="Arial"/>
                <w:b/>
                <w:bCs/>
                <w:color w:val="FFFFFF"/>
                <w:sz w:val="18"/>
                <w:szCs w:val="18"/>
                <w:lang w:eastAsia="es-ES"/>
              </w:rPr>
            </w:pPr>
            <w:r w:rsidRPr="00BE392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BE3920" w:rsidRDefault="00FA5AFD" w:rsidP="00104DE9">
            <w:pPr>
              <w:jc w:val="center"/>
              <w:rPr>
                <w:rFonts w:eastAsia="Times New Roman" w:cs="Arial"/>
                <w:b/>
                <w:bCs/>
                <w:color w:val="FFFFFF"/>
                <w:sz w:val="18"/>
                <w:szCs w:val="18"/>
                <w:lang w:eastAsia="es-ES"/>
              </w:rPr>
            </w:pPr>
            <w:r w:rsidRPr="00BE392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FA5AFD" w:rsidRPr="00BE3920" w:rsidRDefault="00FA5AFD" w:rsidP="00FA5AFD">
            <w:pPr>
              <w:jc w:val="center"/>
              <w:rPr>
                <w:rFonts w:eastAsia="Times New Roman" w:cs="Arial"/>
                <w:b/>
                <w:bCs/>
                <w:color w:val="FFFFFF"/>
                <w:sz w:val="18"/>
                <w:szCs w:val="18"/>
                <w:lang w:eastAsia="es-ES"/>
              </w:rPr>
            </w:pPr>
            <w:r w:rsidRPr="00BE392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FA5AFD" w:rsidRPr="00BE3920" w:rsidRDefault="00FA5AFD" w:rsidP="00FA5AFD">
            <w:pPr>
              <w:jc w:val="center"/>
              <w:rPr>
                <w:rFonts w:eastAsia="Times New Roman" w:cs="Arial"/>
                <w:b/>
                <w:bCs/>
                <w:color w:val="FFFFFF"/>
                <w:sz w:val="18"/>
                <w:szCs w:val="18"/>
                <w:lang w:eastAsia="es-ES"/>
              </w:rPr>
            </w:pPr>
            <w:r w:rsidRPr="00BE3920">
              <w:rPr>
                <w:rFonts w:eastAsia="Times New Roman" w:cs="Arial"/>
                <w:b/>
                <w:bCs/>
                <w:color w:val="FFFFFF"/>
                <w:sz w:val="18"/>
                <w:szCs w:val="18"/>
                <w:lang w:eastAsia="es-ES"/>
              </w:rPr>
              <w:t>TOTAL</w:t>
            </w:r>
          </w:p>
        </w:tc>
      </w:tr>
      <w:tr w:rsidR="00FA5AFD" w:rsidRPr="00BE3920" w:rsidTr="00CC48E8">
        <w:trPr>
          <w:trHeight w:val="1895"/>
        </w:trPr>
        <w:tc>
          <w:tcPr>
            <w:tcW w:w="2151" w:type="pct"/>
            <w:tcBorders>
              <w:top w:val="nil"/>
              <w:left w:val="nil"/>
              <w:right w:val="single" w:sz="8" w:space="0" w:color="auto"/>
            </w:tcBorders>
            <w:shd w:val="clear" w:color="000000" w:fill="65AD82"/>
            <w:noWrap/>
            <w:vAlign w:val="center"/>
            <w:hideMark/>
          </w:tcPr>
          <w:p w:rsidR="00FA5AFD" w:rsidRPr="00BE3920" w:rsidRDefault="00FA5AFD" w:rsidP="00FA5AFD">
            <w:pPr>
              <w:rPr>
                <w:rFonts w:eastAsia="Times New Roman" w:cs="Arial"/>
                <w:b/>
                <w:bCs/>
                <w:color w:val="FFFFFF"/>
                <w:sz w:val="18"/>
                <w:szCs w:val="18"/>
                <w:lang w:eastAsia="es-ES"/>
              </w:rPr>
            </w:pPr>
            <w:r w:rsidRPr="00BE392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FA5AFD" w:rsidRPr="00BE3920" w:rsidRDefault="00FA5AFD" w:rsidP="00FA5AFD">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FA5AFD" w:rsidRPr="00BE3920" w:rsidRDefault="00FA5AFD" w:rsidP="00FA5AFD">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FA5AFD" w:rsidRPr="00BE3920" w:rsidRDefault="00FA5AFD" w:rsidP="00104DE9">
            <w:pPr>
              <w:jc w:val="center"/>
              <w:rPr>
                <w:rFonts w:eastAsia="Times New Roman" w:cs="Arial"/>
                <w:b/>
                <w:bCs/>
                <w:color w:val="FFFFFF"/>
                <w:sz w:val="18"/>
                <w:szCs w:val="18"/>
                <w:lang w:eastAsia="es-ES"/>
              </w:rPr>
            </w:pPr>
            <w:r w:rsidRPr="00BE392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FA5AFD" w:rsidRPr="00BE3920" w:rsidRDefault="00FA5AFD" w:rsidP="00104DE9">
            <w:pPr>
              <w:jc w:val="center"/>
              <w:rPr>
                <w:rFonts w:eastAsia="Times New Roman" w:cs="Arial"/>
                <w:b/>
                <w:bCs/>
                <w:color w:val="FFFFFF"/>
                <w:sz w:val="18"/>
                <w:szCs w:val="18"/>
                <w:lang w:eastAsia="es-ES"/>
              </w:rPr>
            </w:pPr>
            <w:r w:rsidRPr="00BE392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FA5AFD" w:rsidRPr="00BE3920" w:rsidRDefault="00FA5AFD" w:rsidP="00104DE9">
            <w:pPr>
              <w:jc w:val="center"/>
              <w:rPr>
                <w:rFonts w:eastAsia="Times New Roman" w:cs="Arial"/>
                <w:b/>
                <w:bCs/>
                <w:color w:val="FFFFFF"/>
                <w:sz w:val="18"/>
                <w:szCs w:val="18"/>
                <w:lang w:eastAsia="es-ES"/>
              </w:rPr>
            </w:pPr>
            <w:r w:rsidRPr="00BE392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FA5AFD" w:rsidRPr="00BE3920" w:rsidRDefault="00FA5AFD" w:rsidP="00104DE9">
            <w:pPr>
              <w:jc w:val="center"/>
              <w:rPr>
                <w:rFonts w:eastAsia="Times New Roman" w:cs="Arial"/>
                <w:b/>
                <w:bCs/>
                <w:color w:val="FFFFFF"/>
                <w:sz w:val="18"/>
                <w:szCs w:val="18"/>
                <w:lang w:eastAsia="es-ES"/>
              </w:rPr>
            </w:pPr>
            <w:r w:rsidRPr="00BE392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FA5AFD" w:rsidRPr="00BE3920" w:rsidRDefault="00FA5AFD" w:rsidP="00104DE9">
            <w:pPr>
              <w:jc w:val="center"/>
              <w:rPr>
                <w:rFonts w:eastAsia="Times New Roman" w:cs="Arial"/>
                <w:b/>
                <w:bCs/>
                <w:color w:val="FFFFFF"/>
                <w:sz w:val="18"/>
                <w:szCs w:val="18"/>
                <w:lang w:eastAsia="es-ES"/>
              </w:rPr>
            </w:pPr>
            <w:r w:rsidRPr="00BE392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FA5AFD" w:rsidRPr="00BE3920" w:rsidRDefault="00FA5AFD" w:rsidP="00FA5AFD">
            <w:pPr>
              <w:rPr>
                <w:rFonts w:eastAsia="Times New Roman" w:cs="Arial"/>
                <w:b/>
                <w:bCs/>
                <w:color w:val="FFFFFF"/>
                <w:sz w:val="18"/>
                <w:szCs w:val="18"/>
                <w:lang w:eastAsia="es-ES"/>
              </w:rPr>
            </w:pPr>
          </w:p>
        </w:tc>
      </w:tr>
      <w:tr w:rsidR="00FA5AFD" w:rsidRPr="00BE3920" w:rsidTr="00CC48E8">
        <w:trPr>
          <w:trHeight w:val="315"/>
        </w:trPr>
        <w:tc>
          <w:tcPr>
            <w:tcW w:w="5000" w:type="pct"/>
            <w:gridSpan w:val="9"/>
            <w:shd w:val="clear" w:color="000000" w:fill="F2F2F2"/>
            <w:vAlign w:val="center"/>
            <w:hideMark/>
          </w:tcPr>
          <w:p w:rsidR="00FA5AFD" w:rsidRPr="00BE3920" w:rsidRDefault="00FA5AFD" w:rsidP="00FA5AFD">
            <w:pPr>
              <w:rPr>
                <w:rFonts w:eastAsia="Times New Roman" w:cs="Arial"/>
                <w:b/>
                <w:bCs/>
                <w:color w:val="000000"/>
                <w:sz w:val="18"/>
                <w:szCs w:val="18"/>
                <w:lang w:eastAsia="es-ES"/>
              </w:rPr>
            </w:pPr>
            <w:r w:rsidRPr="00BE3920">
              <w:rPr>
                <w:rFonts w:eastAsia="Times New Roman" w:cs="Arial"/>
                <w:b/>
                <w:bCs/>
                <w:color w:val="000000"/>
                <w:sz w:val="18"/>
                <w:szCs w:val="18"/>
                <w:lang w:eastAsia="es-ES"/>
              </w:rPr>
              <w:t>INSTITUCIONAL, ORGANIZATIVA Y DE PLANIFICACIÓN</w:t>
            </w:r>
          </w:p>
        </w:tc>
      </w:tr>
      <w:tr w:rsidR="00BE3920" w:rsidRPr="00BE3920" w:rsidTr="00CC48E8">
        <w:trPr>
          <w:trHeight w:val="315"/>
        </w:trPr>
        <w:tc>
          <w:tcPr>
            <w:tcW w:w="2151" w:type="pct"/>
            <w:tcBorders>
              <w:left w:val="nil"/>
              <w:bottom w:val="nil"/>
              <w:right w:val="nil"/>
            </w:tcBorders>
            <w:shd w:val="clear" w:color="auto" w:fill="F5FDFA"/>
            <w:noWrap/>
            <w:hideMark/>
          </w:tcPr>
          <w:p w:rsidR="00BE3920" w:rsidRPr="00BE3920" w:rsidRDefault="00BE3920" w:rsidP="00CC48E8">
            <w:pPr>
              <w:rPr>
                <w:rFonts w:eastAsia="Times New Roman" w:cs="Arial"/>
                <w:sz w:val="18"/>
                <w:szCs w:val="18"/>
                <w:lang w:eastAsia="es-ES"/>
              </w:rPr>
            </w:pPr>
            <w:r w:rsidRPr="00BE3920">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398" w:type="pct"/>
            <w:tcBorders>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458" w:type="pct"/>
            <w:tcBorders>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292" w:type="pct"/>
            <w:tcBorders>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292" w:type="pct"/>
            <w:tcBorders>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292" w:type="pct"/>
            <w:tcBorders>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50,0</w:t>
            </w:r>
          </w:p>
        </w:tc>
        <w:tc>
          <w:tcPr>
            <w:tcW w:w="298" w:type="pct"/>
            <w:tcBorders>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354" w:type="pct"/>
            <w:tcBorders>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93,0</w:t>
            </w:r>
          </w:p>
        </w:tc>
      </w:tr>
      <w:tr w:rsidR="00BE3920" w:rsidRPr="00BE3920" w:rsidTr="00FA5AFD">
        <w:trPr>
          <w:trHeight w:val="315"/>
        </w:trPr>
        <w:tc>
          <w:tcPr>
            <w:tcW w:w="2151" w:type="pct"/>
            <w:tcBorders>
              <w:top w:val="nil"/>
              <w:left w:val="nil"/>
              <w:bottom w:val="nil"/>
              <w:right w:val="nil"/>
            </w:tcBorders>
            <w:shd w:val="clear" w:color="auto" w:fill="F5FDFA"/>
            <w:noWrap/>
            <w:hideMark/>
          </w:tcPr>
          <w:p w:rsidR="00BE3920" w:rsidRPr="00BE3920" w:rsidRDefault="00BE3920" w:rsidP="00CC48E8">
            <w:pPr>
              <w:rPr>
                <w:rFonts w:eastAsia="Times New Roman" w:cs="Arial"/>
                <w:sz w:val="18"/>
                <w:szCs w:val="18"/>
                <w:lang w:eastAsia="es-ES"/>
              </w:rPr>
            </w:pPr>
            <w:r w:rsidRPr="00BE392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398"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458"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292"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292"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292"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25,0</w:t>
            </w:r>
          </w:p>
        </w:tc>
        <w:tc>
          <w:tcPr>
            <w:tcW w:w="298"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354"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89,0</w:t>
            </w:r>
          </w:p>
        </w:tc>
      </w:tr>
      <w:tr w:rsidR="00BE3920" w:rsidRPr="00BE3920" w:rsidTr="00FA5AFD">
        <w:trPr>
          <w:trHeight w:val="315"/>
        </w:trPr>
        <w:tc>
          <w:tcPr>
            <w:tcW w:w="2151" w:type="pct"/>
            <w:tcBorders>
              <w:top w:val="nil"/>
              <w:left w:val="nil"/>
              <w:right w:val="nil"/>
            </w:tcBorders>
            <w:shd w:val="clear" w:color="auto" w:fill="F5FDFA"/>
            <w:noWrap/>
            <w:hideMark/>
          </w:tcPr>
          <w:p w:rsidR="00BE3920" w:rsidRPr="00BE3920" w:rsidRDefault="00BE3920" w:rsidP="00CC48E8">
            <w:pPr>
              <w:rPr>
                <w:rFonts w:eastAsia="Times New Roman" w:cs="Arial"/>
                <w:sz w:val="18"/>
                <w:szCs w:val="18"/>
                <w:lang w:eastAsia="es-ES"/>
              </w:rPr>
            </w:pPr>
            <w:r w:rsidRPr="00BE3920">
              <w:rPr>
                <w:rFonts w:eastAsia="Times New Roman" w:cs="Arial"/>
                <w:sz w:val="18"/>
                <w:szCs w:val="18"/>
                <w:lang w:eastAsia="es-ES"/>
              </w:rPr>
              <w:t>Planificación</w:t>
            </w:r>
          </w:p>
        </w:tc>
        <w:tc>
          <w:tcPr>
            <w:tcW w:w="465" w:type="pct"/>
            <w:tcBorders>
              <w:top w:val="nil"/>
              <w:left w:val="nil"/>
              <w:right w:val="nil"/>
            </w:tcBorders>
            <w:shd w:val="clear" w:color="auto" w:fill="F5FDFA"/>
            <w:noWrap/>
          </w:tcPr>
          <w:p w:rsidR="00BE3920" w:rsidRPr="00BE3920" w:rsidRDefault="00BE3920" w:rsidP="00BE3920">
            <w:pPr>
              <w:jc w:val="right"/>
              <w:rPr>
                <w:sz w:val="18"/>
                <w:szCs w:val="18"/>
              </w:rPr>
            </w:pPr>
            <w:r w:rsidRPr="00BE3920">
              <w:rPr>
                <w:sz w:val="18"/>
                <w:szCs w:val="18"/>
              </w:rPr>
              <w:t>0,0</w:t>
            </w:r>
          </w:p>
        </w:tc>
        <w:tc>
          <w:tcPr>
            <w:tcW w:w="398" w:type="pct"/>
            <w:tcBorders>
              <w:top w:val="nil"/>
              <w:left w:val="nil"/>
              <w:right w:val="nil"/>
            </w:tcBorders>
            <w:shd w:val="clear" w:color="auto" w:fill="F5FDFA"/>
            <w:noWrap/>
          </w:tcPr>
          <w:p w:rsidR="00BE3920" w:rsidRPr="00BE3920" w:rsidRDefault="00BE3920" w:rsidP="00BE3920">
            <w:pPr>
              <w:jc w:val="right"/>
              <w:rPr>
                <w:sz w:val="18"/>
                <w:szCs w:val="18"/>
              </w:rPr>
            </w:pPr>
            <w:r w:rsidRPr="00BE3920">
              <w:rPr>
                <w:sz w:val="18"/>
                <w:szCs w:val="18"/>
              </w:rPr>
              <w:t>0,0</w:t>
            </w:r>
          </w:p>
        </w:tc>
        <w:tc>
          <w:tcPr>
            <w:tcW w:w="458" w:type="pct"/>
            <w:tcBorders>
              <w:top w:val="nil"/>
              <w:left w:val="nil"/>
              <w:right w:val="nil"/>
            </w:tcBorders>
            <w:shd w:val="clear" w:color="auto" w:fill="F5FDFA"/>
            <w:noWrap/>
          </w:tcPr>
          <w:p w:rsidR="00BE3920" w:rsidRPr="00BE3920" w:rsidRDefault="00BE3920" w:rsidP="00BE3920">
            <w:pPr>
              <w:jc w:val="right"/>
              <w:rPr>
                <w:sz w:val="18"/>
                <w:szCs w:val="18"/>
              </w:rPr>
            </w:pPr>
            <w:r w:rsidRPr="00BE3920">
              <w:rPr>
                <w:sz w:val="18"/>
                <w:szCs w:val="18"/>
              </w:rPr>
              <w:t>0,0</w:t>
            </w:r>
          </w:p>
        </w:tc>
        <w:tc>
          <w:tcPr>
            <w:tcW w:w="292" w:type="pct"/>
            <w:tcBorders>
              <w:top w:val="nil"/>
              <w:left w:val="nil"/>
              <w:right w:val="nil"/>
            </w:tcBorders>
            <w:shd w:val="clear" w:color="auto" w:fill="F5FDFA"/>
            <w:noWrap/>
          </w:tcPr>
          <w:p w:rsidR="00BE3920" w:rsidRPr="00BE3920" w:rsidRDefault="00BE3920" w:rsidP="00BE3920">
            <w:pPr>
              <w:jc w:val="right"/>
              <w:rPr>
                <w:sz w:val="18"/>
                <w:szCs w:val="18"/>
              </w:rPr>
            </w:pPr>
            <w:r w:rsidRPr="00BE3920">
              <w:rPr>
                <w:sz w:val="18"/>
                <w:szCs w:val="18"/>
              </w:rPr>
              <w:t>0,0</w:t>
            </w:r>
          </w:p>
        </w:tc>
        <w:tc>
          <w:tcPr>
            <w:tcW w:w="292" w:type="pct"/>
            <w:tcBorders>
              <w:top w:val="nil"/>
              <w:left w:val="nil"/>
              <w:right w:val="nil"/>
            </w:tcBorders>
            <w:shd w:val="clear" w:color="auto" w:fill="F5FDFA"/>
            <w:noWrap/>
          </w:tcPr>
          <w:p w:rsidR="00BE3920" w:rsidRPr="00BE3920" w:rsidRDefault="00BE3920" w:rsidP="00BE3920">
            <w:pPr>
              <w:jc w:val="right"/>
              <w:rPr>
                <w:sz w:val="18"/>
                <w:szCs w:val="18"/>
              </w:rPr>
            </w:pPr>
            <w:r w:rsidRPr="00BE3920">
              <w:rPr>
                <w:sz w:val="18"/>
                <w:szCs w:val="18"/>
              </w:rPr>
              <w:t>0,0</w:t>
            </w:r>
          </w:p>
        </w:tc>
        <w:tc>
          <w:tcPr>
            <w:tcW w:w="292" w:type="pct"/>
            <w:tcBorders>
              <w:top w:val="nil"/>
              <w:left w:val="nil"/>
              <w:right w:val="nil"/>
            </w:tcBorders>
            <w:shd w:val="clear" w:color="auto" w:fill="F5FDFA"/>
            <w:noWrap/>
          </w:tcPr>
          <w:p w:rsidR="00BE3920" w:rsidRPr="00BE3920" w:rsidRDefault="00BE3920" w:rsidP="00BE3920">
            <w:pPr>
              <w:jc w:val="right"/>
              <w:rPr>
                <w:sz w:val="18"/>
                <w:szCs w:val="18"/>
              </w:rPr>
            </w:pPr>
            <w:r w:rsidRPr="00BE3920">
              <w:rPr>
                <w:sz w:val="18"/>
                <w:szCs w:val="18"/>
              </w:rPr>
              <w:t>0,0</w:t>
            </w:r>
          </w:p>
        </w:tc>
        <w:tc>
          <w:tcPr>
            <w:tcW w:w="298" w:type="pct"/>
            <w:tcBorders>
              <w:top w:val="nil"/>
              <w:left w:val="nil"/>
              <w:right w:val="nil"/>
            </w:tcBorders>
            <w:shd w:val="clear" w:color="auto" w:fill="F5FDFA"/>
            <w:noWrap/>
          </w:tcPr>
          <w:p w:rsidR="00BE3920" w:rsidRPr="00BE3920" w:rsidRDefault="00BE3920" w:rsidP="00BE3920">
            <w:pPr>
              <w:jc w:val="right"/>
              <w:rPr>
                <w:sz w:val="18"/>
                <w:szCs w:val="18"/>
              </w:rPr>
            </w:pPr>
            <w:r w:rsidRPr="00BE3920">
              <w:rPr>
                <w:sz w:val="18"/>
                <w:szCs w:val="18"/>
              </w:rPr>
              <w:t>0,0</w:t>
            </w:r>
          </w:p>
        </w:tc>
        <w:tc>
          <w:tcPr>
            <w:tcW w:w="354" w:type="pct"/>
            <w:tcBorders>
              <w:top w:val="nil"/>
              <w:left w:val="nil"/>
              <w:right w:val="nil"/>
            </w:tcBorders>
            <w:shd w:val="clear" w:color="auto" w:fill="F5FDFA"/>
            <w:noWrap/>
          </w:tcPr>
          <w:p w:rsidR="00BE3920" w:rsidRPr="00BE3920" w:rsidRDefault="00BE3920" w:rsidP="00BE3920">
            <w:pPr>
              <w:jc w:val="right"/>
              <w:rPr>
                <w:sz w:val="18"/>
                <w:szCs w:val="18"/>
              </w:rPr>
            </w:pPr>
            <w:r w:rsidRPr="00BE3920">
              <w:rPr>
                <w:sz w:val="18"/>
                <w:szCs w:val="18"/>
              </w:rPr>
              <w:t>0,0</w:t>
            </w:r>
          </w:p>
        </w:tc>
      </w:tr>
      <w:tr w:rsidR="00FB0127" w:rsidRPr="00BE3920" w:rsidTr="00FB0127">
        <w:trPr>
          <w:trHeight w:val="315"/>
        </w:trPr>
        <w:tc>
          <w:tcPr>
            <w:tcW w:w="2151" w:type="pct"/>
            <w:tcBorders>
              <w:top w:val="nil"/>
              <w:left w:val="nil"/>
              <w:right w:val="nil"/>
            </w:tcBorders>
            <w:shd w:val="clear" w:color="auto" w:fill="F5FDFA"/>
            <w:noWrap/>
          </w:tcPr>
          <w:p w:rsidR="00FB0127" w:rsidRPr="00BE3920" w:rsidRDefault="00FB0127" w:rsidP="00CC48E8">
            <w:pPr>
              <w:rPr>
                <w:rFonts w:eastAsia="Times New Roman" w:cs="Arial"/>
                <w:sz w:val="18"/>
                <w:szCs w:val="18"/>
                <w:lang w:eastAsia="es-ES"/>
              </w:rPr>
            </w:pPr>
            <w:r w:rsidRPr="00BE3920">
              <w:rPr>
                <w:rFonts w:eastAsia="Times New Roman" w:cs="Arial"/>
                <w:sz w:val="18"/>
                <w:szCs w:val="18"/>
                <w:lang w:eastAsia="es-ES"/>
              </w:rPr>
              <w:t>Registro de Actividades de Tratamiento</w:t>
            </w:r>
          </w:p>
        </w:tc>
        <w:tc>
          <w:tcPr>
            <w:tcW w:w="2849" w:type="pct"/>
            <w:gridSpan w:val="8"/>
            <w:tcBorders>
              <w:top w:val="nil"/>
              <w:left w:val="nil"/>
              <w:right w:val="nil"/>
            </w:tcBorders>
            <w:shd w:val="clear" w:color="auto" w:fill="F5FDFA"/>
            <w:noWrap/>
          </w:tcPr>
          <w:p w:rsidR="00FB0127" w:rsidRPr="00BE3920" w:rsidRDefault="00FB0127" w:rsidP="00FB0127">
            <w:pPr>
              <w:jc w:val="center"/>
              <w:rPr>
                <w:sz w:val="18"/>
                <w:szCs w:val="18"/>
              </w:rPr>
            </w:pPr>
            <w:r w:rsidRPr="00BE3920">
              <w:rPr>
                <w:sz w:val="18"/>
                <w:szCs w:val="18"/>
              </w:rPr>
              <w:t>NO APLICABLE</w:t>
            </w:r>
          </w:p>
        </w:tc>
      </w:tr>
      <w:tr w:rsidR="00BE3920" w:rsidRPr="00BE3920" w:rsidTr="00FA5AFD">
        <w:trPr>
          <w:trHeight w:val="315"/>
        </w:trPr>
        <w:tc>
          <w:tcPr>
            <w:tcW w:w="2151" w:type="pct"/>
            <w:tcBorders>
              <w:top w:val="nil"/>
              <w:left w:val="nil"/>
              <w:bottom w:val="nil"/>
              <w:right w:val="nil"/>
            </w:tcBorders>
            <w:shd w:val="clear" w:color="auto" w:fill="65AD82"/>
            <w:noWrap/>
            <w:hideMark/>
          </w:tcPr>
          <w:p w:rsidR="00BE3920" w:rsidRPr="00BE3920" w:rsidRDefault="00BE3920" w:rsidP="00FA5AFD">
            <w:pPr>
              <w:jc w:val="right"/>
              <w:rPr>
                <w:rFonts w:eastAsia="Times New Roman" w:cs="Arial"/>
                <w:b/>
                <w:color w:val="FFFFFF" w:themeColor="background1"/>
                <w:sz w:val="18"/>
                <w:szCs w:val="18"/>
                <w:lang w:eastAsia="es-ES"/>
              </w:rPr>
            </w:pPr>
            <w:r w:rsidRPr="00BE392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hideMark/>
          </w:tcPr>
          <w:p w:rsidR="00BE3920" w:rsidRPr="00BE3920" w:rsidRDefault="00BE3920" w:rsidP="00BE3920">
            <w:pPr>
              <w:jc w:val="right"/>
              <w:rPr>
                <w:b/>
                <w:color w:val="FFFFFF" w:themeColor="background1"/>
                <w:sz w:val="18"/>
                <w:szCs w:val="18"/>
              </w:rPr>
            </w:pPr>
            <w:r w:rsidRPr="00BE3920">
              <w:rPr>
                <w:b/>
                <w:color w:val="FFFFFF" w:themeColor="background1"/>
                <w:sz w:val="18"/>
                <w:szCs w:val="18"/>
              </w:rPr>
              <w:t>70,0</w:t>
            </w:r>
          </w:p>
        </w:tc>
        <w:tc>
          <w:tcPr>
            <w:tcW w:w="398" w:type="pct"/>
            <w:tcBorders>
              <w:top w:val="nil"/>
              <w:left w:val="nil"/>
              <w:bottom w:val="nil"/>
              <w:right w:val="nil"/>
            </w:tcBorders>
            <w:shd w:val="clear" w:color="auto" w:fill="65AD82"/>
            <w:noWrap/>
          </w:tcPr>
          <w:p w:rsidR="00BE3920" w:rsidRPr="00BE3920" w:rsidRDefault="00BE3920" w:rsidP="00BE3920">
            <w:pPr>
              <w:jc w:val="right"/>
              <w:rPr>
                <w:b/>
                <w:color w:val="FFFFFF" w:themeColor="background1"/>
                <w:sz w:val="18"/>
                <w:szCs w:val="18"/>
              </w:rPr>
            </w:pPr>
            <w:r w:rsidRPr="00BE3920">
              <w:rPr>
                <w:b/>
                <w:color w:val="FFFFFF" w:themeColor="background1"/>
                <w:sz w:val="18"/>
                <w:szCs w:val="18"/>
              </w:rPr>
              <w:t>70,0</w:t>
            </w:r>
          </w:p>
        </w:tc>
        <w:tc>
          <w:tcPr>
            <w:tcW w:w="458" w:type="pct"/>
            <w:tcBorders>
              <w:top w:val="nil"/>
              <w:left w:val="nil"/>
              <w:bottom w:val="nil"/>
              <w:right w:val="nil"/>
            </w:tcBorders>
            <w:shd w:val="clear" w:color="auto" w:fill="65AD82"/>
            <w:noWrap/>
          </w:tcPr>
          <w:p w:rsidR="00BE3920" w:rsidRPr="00BE3920" w:rsidRDefault="00BE3920" w:rsidP="00BE3920">
            <w:pPr>
              <w:jc w:val="right"/>
              <w:rPr>
                <w:b/>
                <w:color w:val="FFFFFF" w:themeColor="background1"/>
                <w:sz w:val="18"/>
                <w:szCs w:val="18"/>
              </w:rPr>
            </w:pPr>
            <w:r w:rsidRPr="00BE3920">
              <w:rPr>
                <w:b/>
                <w:color w:val="FFFFFF" w:themeColor="background1"/>
                <w:sz w:val="18"/>
                <w:szCs w:val="18"/>
              </w:rPr>
              <w:t>70,0</w:t>
            </w:r>
          </w:p>
        </w:tc>
        <w:tc>
          <w:tcPr>
            <w:tcW w:w="292" w:type="pct"/>
            <w:tcBorders>
              <w:top w:val="nil"/>
              <w:left w:val="nil"/>
              <w:bottom w:val="nil"/>
              <w:right w:val="nil"/>
            </w:tcBorders>
            <w:shd w:val="clear" w:color="auto" w:fill="65AD82"/>
            <w:noWrap/>
          </w:tcPr>
          <w:p w:rsidR="00BE3920" w:rsidRPr="00BE3920" w:rsidRDefault="00BE3920" w:rsidP="00BE3920">
            <w:pPr>
              <w:jc w:val="right"/>
              <w:rPr>
                <w:b/>
                <w:color w:val="FFFFFF" w:themeColor="background1"/>
                <w:sz w:val="18"/>
                <w:szCs w:val="18"/>
              </w:rPr>
            </w:pPr>
            <w:r w:rsidRPr="00BE3920">
              <w:rPr>
                <w:b/>
                <w:color w:val="FFFFFF" w:themeColor="background1"/>
                <w:sz w:val="18"/>
                <w:szCs w:val="18"/>
              </w:rPr>
              <w:t>70,0</w:t>
            </w:r>
          </w:p>
        </w:tc>
        <w:tc>
          <w:tcPr>
            <w:tcW w:w="292" w:type="pct"/>
            <w:tcBorders>
              <w:top w:val="nil"/>
              <w:left w:val="nil"/>
              <w:bottom w:val="nil"/>
              <w:right w:val="nil"/>
            </w:tcBorders>
            <w:shd w:val="clear" w:color="auto" w:fill="65AD82"/>
            <w:noWrap/>
          </w:tcPr>
          <w:p w:rsidR="00BE3920" w:rsidRPr="00BE3920" w:rsidRDefault="00BE3920" w:rsidP="00BE3920">
            <w:pPr>
              <w:jc w:val="right"/>
              <w:rPr>
                <w:b/>
                <w:color w:val="FFFFFF" w:themeColor="background1"/>
                <w:sz w:val="18"/>
                <w:szCs w:val="18"/>
              </w:rPr>
            </w:pPr>
            <w:r w:rsidRPr="00BE3920">
              <w:rPr>
                <w:b/>
                <w:color w:val="FFFFFF" w:themeColor="background1"/>
                <w:sz w:val="18"/>
                <w:szCs w:val="18"/>
              </w:rPr>
              <w:t>70,0</w:t>
            </w:r>
          </w:p>
        </w:tc>
        <w:tc>
          <w:tcPr>
            <w:tcW w:w="292" w:type="pct"/>
            <w:tcBorders>
              <w:top w:val="nil"/>
              <w:left w:val="nil"/>
              <w:bottom w:val="nil"/>
              <w:right w:val="nil"/>
            </w:tcBorders>
            <w:shd w:val="clear" w:color="auto" w:fill="65AD82"/>
            <w:noWrap/>
          </w:tcPr>
          <w:p w:rsidR="00BE3920" w:rsidRPr="00BE3920" w:rsidRDefault="00BE3920" w:rsidP="00BE3920">
            <w:pPr>
              <w:jc w:val="right"/>
              <w:rPr>
                <w:b/>
                <w:color w:val="FFFFFF" w:themeColor="background1"/>
                <w:sz w:val="18"/>
                <w:szCs w:val="18"/>
              </w:rPr>
            </w:pPr>
            <w:r w:rsidRPr="00BE3920">
              <w:rPr>
                <w:b/>
                <w:color w:val="FFFFFF" w:themeColor="background1"/>
                <w:sz w:val="18"/>
                <w:szCs w:val="18"/>
              </w:rPr>
              <w:t>30,0</w:t>
            </w:r>
          </w:p>
        </w:tc>
        <w:tc>
          <w:tcPr>
            <w:tcW w:w="298" w:type="pct"/>
            <w:tcBorders>
              <w:top w:val="nil"/>
              <w:left w:val="nil"/>
              <w:bottom w:val="nil"/>
              <w:right w:val="nil"/>
            </w:tcBorders>
            <w:shd w:val="clear" w:color="auto" w:fill="65AD82"/>
            <w:noWrap/>
          </w:tcPr>
          <w:p w:rsidR="00BE3920" w:rsidRPr="00BE3920" w:rsidRDefault="00BE3920" w:rsidP="00BE3920">
            <w:pPr>
              <w:jc w:val="right"/>
              <w:rPr>
                <w:b/>
                <w:color w:val="FFFFFF" w:themeColor="background1"/>
                <w:sz w:val="18"/>
                <w:szCs w:val="18"/>
              </w:rPr>
            </w:pPr>
            <w:r w:rsidRPr="00BE3920">
              <w:rPr>
                <w:b/>
                <w:color w:val="FFFFFF" w:themeColor="background1"/>
                <w:sz w:val="18"/>
                <w:szCs w:val="18"/>
              </w:rPr>
              <w:t>70,0</w:t>
            </w:r>
          </w:p>
        </w:tc>
        <w:tc>
          <w:tcPr>
            <w:tcW w:w="354" w:type="pct"/>
            <w:tcBorders>
              <w:top w:val="nil"/>
              <w:left w:val="nil"/>
              <w:bottom w:val="nil"/>
              <w:right w:val="nil"/>
            </w:tcBorders>
            <w:shd w:val="clear" w:color="auto" w:fill="65AD82"/>
            <w:noWrap/>
          </w:tcPr>
          <w:p w:rsidR="00BE3920" w:rsidRPr="00BE3920" w:rsidRDefault="00BE3920" w:rsidP="00BE3920">
            <w:pPr>
              <w:jc w:val="right"/>
              <w:rPr>
                <w:b/>
                <w:color w:val="FFFFFF" w:themeColor="background1"/>
                <w:sz w:val="18"/>
                <w:szCs w:val="18"/>
              </w:rPr>
            </w:pPr>
            <w:r w:rsidRPr="00BE3920">
              <w:rPr>
                <w:b/>
                <w:color w:val="FFFFFF" w:themeColor="background1"/>
                <w:sz w:val="18"/>
                <w:szCs w:val="18"/>
              </w:rPr>
              <w:t>64,0</w:t>
            </w:r>
          </w:p>
        </w:tc>
      </w:tr>
      <w:tr w:rsidR="00FA5AFD" w:rsidRPr="00BE3920" w:rsidTr="00FA5AFD">
        <w:trPr>
          <w:trHeight w:val="315"/>
        </w:trPr>
        <w:tc>
          <w:tcPr>
            <w:tcW w:w="2151" w:type="pct"/>
            <w:tcBorders>
              <w:top w:val="nil"/>
              <w:left w:val="nil"/>
              <w:bottom w:val="nil"/>
              <w:right w:val="nil"/>
            </w:tcBorders>
            <w:shd w:val="clear" w:color="auto" w:fill="F2F2F2" w:themeFill="background1" w:themeFillShade="F2"/>
            <w:noWrap/>
            <w:hideMark/>
          </w:tcPr>
          <w:p w:rsidR="00FA5AFD" w:rsidRPr="00BE3920" w:rsidRDefault="00FA5AFD" w:rsidP="00FA5AFD">
            <w:pPr>
              <w:rPr>
                <w:rFonts w:eastAsia="Times New Roman" w:cs="Arial"/>
                <w:b/>
                <w:bCs/>
                <w:color w:val="000000"/>
                <w:sz w:val="18"/>
                <w:szCs w:val="18"/>
                <w:lang w:eastAsia="es-ES"/>
              </w:rPr>
            </w:pPr>
            <w:r w:rsidRPr="00BE3920">
              <w:rPr>
                <w:rFonts w:eastAsia="Times New Roman" w:cs="Arial"/>
                <w:b/>
                <w:bCs/>
                <w:color w:val="000000"/>
                <w:sz w:val="18"/>
                <w:szCs w:val="18"/>
                <w:lang w:eastAsia="es-ES"/>
              </w:rPr>
              <w:t>INFORMACIÓN DE RELEVANCIA JURÍDICA</w:t>
            </w:r>
          </w:p>
        </w:tc>
        <w:tc>
          <w:tcPr>
            <w:tcW w:w="465" w:type="pct"/>
            <w:tcBorders>
              <w:top w:val="nil"/>
              <w:left w:val="nil"/>
              <w:bottom w:val="nil"/>
              <w:right w:val="nil"/>
            </w:tcBorders>
            <w:shd w:val="clear" w:color="auto" w:fill="F2F2F2" w:themeFill="background1" w:themeFillShade="F2"/>
            <w:noWrap/>
            <w:hideMark/>
          </w:tcPr>
          <w:p w:rsidR="00FA5AFD" w:rsidRPr="00BE3920" w:rsidRDefault="00FA5AFD" w:rsidP="00EC5A12">
            <w:pPr>
              <w:jc w:val="right"/>
              <w:rPr>
                <w:b/>
                <w:color w:val="FFFFFF" w:themeColor="background1"/>
                <w:sz w:val="18"/>
                <w:szCs w:val="18"/>
              </w:rPr>
            </w:pPr>
          </w:p>
        </w:tc>
        <w:tc>
          <w:tcPr>
            <w:tcW w:w="398" w:type="pct"/>
            <w:tcBorders>
              <w:top w:val="nil"/>
              <w:left w:val="nil"/>
              <w:bottom w:val="nil"/>
              <w:right w:val="nil"/>
            </w:tcBorders>
            <w:shd w:val="clear" w:color="auto" w:fill="F2F2F2" w:themeFill="background1" w:themeFillShade="F2"/>
            <w:noWrap/>
          </w:tcPr>
          <w:p w:rsidR="00FA5AFD" w:rsidRPr="00BE3920" w:rsidRDefault="00FA5AFD" w:rsidP="00EC5A12">
            <w:pPr>
              <w:jc w:val="right"/>
              <w:rPr>
                <w:b/>
                <w:color w:val="FFFFFF" w:themeColor="background1"/>
                <w:sz w:val="18"/>
                <w:szCs w:val="18"/>
              </w:rPr>
            </w:pPr>
          </w:p>
        </w:tc>
        <w:tc>
          <w:tcPr>
            <w:tcW w:w="458" w:type="pct"/>
            <w:tcBorders>
              <w:top w:val="nil"/>
              <w:left w:val="nil"/>
              <w:bottom w:val="nil"/>
              <w:right w:val="nil"/>
            </w:tcBorders>
            <w:shd w:val="clear" w:color="auto" w:fill="F2F2F2" w:themeFill="background1" w:themeFillShade="F2"/>
            <w:noWrap/>
            <w:hideMark/>
          </w:tcPr>
          <w:p w:rsidR="00FA5AFD" w:rsidRPr="00BE3920" w:rsidRDefault="00FA5AFD" w:rsidP="00EC5A12">
            <w:pPr>
              <w:jc w:val="right"/>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hideMark/>
          </w:tcPr>
          <w:p w:rsidR="00FA5AFD" w:rsidRPr="00BE3920" w:rsidRDefault="00FA5AFD" w:rsidP="00EC5A12">
            <w:pPr>
              <w:jc w:val="right"/>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hideMark/>
          </w:tcPr>
          <w:p w:rsidR="00FA5AFD" w:rsidRPr="00BE3920" w:rsidRDefault="00FA5AFD" w:rsidP="00EC5A12">
            <w:pPr>
              <w:jc w:val="right"/>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hideMark/>
          </w:tcPr>
          <w:p w:rsidR="00FA5AFD" w:rsidRPr="00BE3920" w:rsidRDefault="00FA5AFD" w:rsidP="00EC5A12">
            <w:pPr>
              <w:jc w:val="right"/>
              <w:rPr>
                <w:b/>
                <w:color w:val="FFFFFF" w:themeColor="background1"/>
                <w:sz w:val="18"/>
                <w:szCs w:val="18"/>
              </w:rPr>
            </w:pPr>
          </w:p>
        </w:tc>
        <w:tc>
          <w:tcPr>
            <w:tcW w:w="298" w:type="pct"/>
            <w:tcBorders>
              <w:top w:val="nil"/>
              <w:left w:val="nil"/>
              <w:bottom w:val="nil"/>
              <w:right w:val="nil"/>
            </w:tcBorders>
            <w:shd w:val="clear" w:color="auto" w:fill="F2F2F2" w:themeFill="background1" w:themeFillShade="F2"/>
            <w:noWrap/>
            <w:hideMark/>
          </w:tcPr>
          <w:p w:rsidR="00FA5AFD" w:rsidRPr="00BE3920" w:rsidRDefault="00FA5AFD" w:rsidP="00EC5A12">
            <w:pPr>
              <w:jc w:val="right"/>
              <w:rPr>
                <w:b/>
                <w:color w:val="FFFFFF" w:themeColor="background1"/>
                <w:sz w:val="18"/>
                <w:szCs w:val="18"/>
              </w:rPr>
            </w:pPr>
          </w:p>
        </w:tc>
        <w:tc>
          <w:tcPr>
            <w:tcW w:w="354" w:type="pct"/>
            <w:tcBorders>
              <w:top w:val="nil"/>
              <w:left w:val="nil"/>
              <w:bottom w:val="nil"/>
              <w:right w:val="nil"/>
            </w:tcBorders>
            <w:shd w:val="clear" w:color="auto" w:fill="F2F2F2" w:themeFill="background1" w:themeFillShade="F2"/>
            <w:noWrap/>
            <w:hideMark/>
          </w:tcPr>
          <w:p w:rsidR="00FA5AFD" w:rsidRPr="00BE3920" w:rsidRDefault="00FA5AFD" w:rsidP="00EC5A12">
            <w:pPr>
              <w:jc w:val="right"/>
              <w:rPr>
                <w:b/>
                <w:color w:val="FFFFFF" w:themeColor="background1"/>
                <w:sz w:val="18"/>
                <w:szCs w:val="18"/>
              </w:rPr>
            </w:pPr>
          </w:p>
        </w:tc>
      </w:tr>
      <w:tr w:rsidR="00BE3920" w:rsidRPr="00BE3920" w:rsidTr="00FA5AFD">
        <w:trPr>
          <w:trHeight w:val="315"/>
        </w:trPr>
        <w:tc>
          <w:tcPr>
            <w:tcW w:w="2151" w:type="pct"/>
            <w:tcBorders>
              <w:top w:val="nil"/>
              <w:left w:val="nil"/>
              <w:bottom w:val="nil"/>
              <w:right w:val="nil"/>
            </w:tcBorders>
            <w:shd w:val="clear" w:color="auto" w:fill="65AD82"/>
            <w:noWrap/>
            <w:hideMark/>
          </w:tcPr>
          <w:p w:rsidR="00BE3920" w:rsidRPr="00BE3920" w:rsidRDefault="00BE3920" w:rsidP="00FA5AFD">
            <w:pPr>
              <w:jc w:val="right"/>
              <w:rPr>
                <w:rFonts w:eastAsia="Times New Roman" w:cs="Arial"/>
                <w:b/>
                <w:color w:val="FFFFFF" w:themeColor="background1"/>
                <w:sz w:val="18"/>
                <w:szCs w:val="18"/>
                <w:lang w:eastAsia="es-ES"/>
              </w:rPr>
            </w:pPr>
            <w:r w:rsidRPr="00BE3920">
              <w:rPr>
                <w:rFonts w:eastAsia="Times New Roman" w:cs="Arial"/>
                <w:b/>
                <w:color w:val="FFFFFF" w:themeColor="background1"/>
                <w:sz w:val="18"/>
                <w:szCs w:val="18"/>
                <w:lang w:eastAsia="es-ES"/>
              </w:rPr>
              <w:t>Total IRJ</w:t>
            </w:r>
          </w:p>
        </w:tc>
        <w:tc>
          <w:tcPr>
            <w:tcW w:w="465" w:type="pct"/>
            <w:tcBorders>
              <w:top w:val="nil"/>
              <w:left w:val="nil"/>
              <w:bottom w:val="nil"/>
              <w:right w:val="nil"/>
            </w:tcBorders>
            <w:shd w:val="clear" w:color="auto" w:fill="65AD82"/>
            <w:noWrap/>
          </w:tcPr>
          <w:p w:rsidR="00BE3920" w:rsidRPr="00BE3920" w:rsidRDefault="00BE3920" w:rsidP="00BE3920">
            <w:pPr>
              <w:jc w:val="right"/>
              <w:rPr>
                <w:b/>
                <w:color w:val="FFFFFF" w:themeColor="background1"/>
                <w:sz w:val="18"/>
                <w:szCs w:val="18"/>
              </w:rPr>
            </w:pPr>
            <w:r w:rsidRPr="00BE3920">
              <w:rPr>
                <w:b/>
                <w:color w:val="FFFFFF" w:themeColor="background1"/>
                <w:sz w:val="18"/>
                <w:szCs w:val="18"/>
              </w:rPr>
              <w:t>100,0</w:t>
            </w:r>
          </w:p>
        </w:tc>
        <w:tc>
          <w:tcPr>
            <w:tcW w:w="398" w:type="pct"/>
            <w:tcBorders>
              <w:top w:val="nil"/>
              <w:left w:val="nil"/>
              <w:bottom w:val="nil"/>
              <w:right w:val="nil"/>
            </w:tcBorders>
            <w:shd w:val="clear" w:color="auto" w:fill="65AD82"/>
            <w:noWrap/>
          </w:tcPr>
          <w:p w:rsidR="00BE3920" w:rsidRPr="00BE3920" w:rsidRDefault="00BE3920" w:rsidP="00BE3920">
            <w:pPr>
              <w:jc w:val="right"/>
              <w:rPr>
                <w:b/>
                <w:color w:val="FFFFFF" w:themeColor="background1"/>
                <w:sz w:val="18"/>
                <w:szCs w:val="18"/>
              </w:rPr>
            </w:pPr>
            <w:r w:rsidRPr="00BE3920">
              <w:rPr>
                <w:b/>
                <w:color w:val="FFFFFF" w:themeColor="background1"/>
                <w:sz w:val="18"/>
                <w:szCs w:val="18"/>
              </w:rPr>
              <w:t>100,0</w:t>
            </w:r>
          </w:p>
        </w:tc>
        <w:tc>
          <w:tcPr>
            <w:tcW w:w="458" w:type="pct"/>
            <w:tcBorders>
              <w:top w:val="nil"/>
              <w:left w:val="nil"/>
              <w:bottom w:val="nil"/>
              <w:right w:val="nil"/>
            </w:tcBorders>
            <w:shd w:val="clear" w:color="auto" w:fill="65AD82"/>
            <w:noWrap/>
            <w:hideMark/>
          </w:tcPr>
          <w:p w:rsidR="00BE3920" w:rsidRPr="00BE3920" w:rsidRDefault="00BE3920" w:rsidP="00BE3920">
            <w:pPr>
              <w:jc w:val="right"/>
              <w:rPr>
                <w:b/>
                <w:color w:val="FFFFFF" w:themeColor="background1"/>
                <w:sz w:val="18"/>
                <w:szCs w:val="18"/>
              </w:rPr>
            </w:pPr>
            <w:r w:rsidRPr="00BE3920">
              <w:rPr>
                <w:b/>
                <w:color w:val="FFFFFF" w:themeColor="background1"/>
                <w:sz w:val="18"/>
                <w:szCs w:val="18"/>
              </w:rPr>
              <w:t>100,0</w:t>
            </w:r>
          </w:p>
        </w:tc>
        <w:tc>
          <w:tcPr>
            <w:tcW w:w="292" w:type="pct"/>
            <w:tcBorders>
              <w:top w:val="nil"/>
              <w:left w:val="nil"/>
              <w:bottom w:val="nil"/>
              <w:right w:val="nil"/>
            </w:tcBorders>
            <w:shd w:val="clear" w:color="auto" w:fill="65AD82"/>
            <w:noWrap/>
            <w:hideMark/>
          </w:tcPr>
          <w:p w:rsidR="00BE3920" w:rsidRPr="00BE3920" w:rsidRDefault="00BE3920" w:rsidP="00BE3920">
            <w:pPr>
              <w:jc w:val="right"/>
              <w:rPr>
                <w:b/>
                <w:color w:val="FFFFFF" w:themeColor="background1"/>
                <w:sz w:val="18"/>
                <w:szCs w:val="18"/>
              </w:rPr>
            </w:pPr>
            <w:r w:rsidRPr="00BE3920">
              <w:rPr>
                <w:b/>
                <w:color w:val="FFFFFF" w:themeColor="background1"/>
                <w:sz w:val="18"/>
                <w:szCs w:val="18"/>
              </w:rPr>
              <w:t>100,0</w:t>
            </w:r>
          </w:p>
        </w:tc>
        <w:tc>
          <w:tcPr>
            <w:tcW w:w="292" w:type="pct"/>
            <w:tcBorders>
              <w:top w:val="nil"/>
              <w:left w:val="nil"/>
              <w:bottom w:val="nil"/>
              <w:right w:val="nil"/>
            </w:tcBorders>
            <w:shd w:val="clear" w:color="auto" w:fill="65AD82"/>
            <w:noWrap/>
            <w:hideMark/>
          </w:tcPr>
          <w:p w:rsidR="00BE3920" w:rsidRPr="00BE3920" w:rsidRDefault="00BE3920" w:rsidP="00BE3920">
            <w:pPr>
              <w:jc w:val="right"/>
              <w:rPr>
                <w:b/>
                <w:color w:val="FFFFFF" w:themeColor="background1"/>
                <w:sz w:val="18"/>
                <w:szCs w:val="18"/>
              </w:rPr>
            </w:pPr>
            <w:r w:rsidRPr="00BE3920">
              <w:rPr>
                <w:b/>
                <w:color w:val="FFFFFF" w:themeColor="background1"/>
                <w:sz w:val="18"/>
                <w:szCs w:val="18"/>
              </w:rPr>
              <w:t>100,0</w:t>
            </w:r>
          </w:p>
        </w:tc>
        <w:tc>
          <w:tcPr>
            <w:tcW w:w="292" w:type="pct"/>
            <w:tcBorders>
              <w:top w:val="nil"/>
              <w:left w:val="nil"/>
              <w:bottom w:val="nil"/>
              <w:right w:val="nil"/>
            </w:tcBorders>
            <w:shd w:val="clear" w:color="auto" w:fill="65AD82"/>
            <w:noWrap/>
            <w:hideMark/>
          </w:tcPr>
          <w:p w:rsidR="00BE3920" w:rsidRPr="00BE3920" w:rsidRDefault="00BE3920" w:rsidP="00BE3920">
            <w:pPr>
              <w:jc w:val="right"/>
              <w:rPr>
                <w:b/>
                <w:color w:val="FFFFFF" w:themeColor="background1"/>
                <w:sz w:val="18"/>
                <w:szCs w:val="18"/>
              </w:rPr>
            </w:pPr>
            <w:r w:rsidRPr="00BE3920">
              <w:rPr>
                <w:b/>
                <w:color w:val="FFFFFF" w:themeColor="background1"/>
                <w:sz w:val="18"/>
                <w:szCs w:val="18"/>
              </w:rPr>
              <w:t>0,0</w:t>
            </w:r>
          </w:p>
        </w:tc>
        <w:tc>
          <w:tcPr>
            <w:tcW w:w="298" w:type="pct"/>
            <w:tcBorders>
              <w:top w:val="nil"/>
              <w:left w:val="nil"/>
              <w:bottom w:val="nil"/>
              <w:right w:val="nil"/>
            </w:tcBorders>
            <w:shd w:val="clear" w:color="auto" w:fill="65AD82"/>
            <w:noWrap/>
            <w:hideMark/>
          </w:tcPr>
          <w:p w:rsidR="00BE3920" w:rsidRPr="00BE3920" w:rsidRDefault="00BE3920" w:rsidP="00BE3920">
            <w:pPr>
              <w:jc w:val="right"/>
              <w:rPr>
                <w:b/>
                <w:color w:val="FFFFFF" w:themeColor="background1"/>
                <w:sz w:val="18"/>
                <w:szCs w:val="18"/>
              </w:rPr>
            </w:pPr>
            <w:r w:rsidRPr="00BE3920">
              <w:rPr>
                <w:b/>
                <w:color w:val="FFFFFF" w:themeColor="background1"/>
                <w:sz w:val="18"/>
                <w:szCs w:val="18"/>
              </w:rPr>
              <w:t>100,0</w:t>
            </w:r>
          </w:p>
        </w:tc>
        <w:tc>
          <w:tcPr>
            <w:tcW w:w="354" w:type="pct"/>
            <w:tcBorders>
              <w:top w:val="nil"/>
              <w:left w:val="nil"/>
              <w:bottom w:val="nil"/>
              <w:right w:val="nil"/>
            </w:tcBorders>
            <w:shd w:val="clear" w:color="auto" w:fill="65AD82"/>
            <w:noWrap/>
            <w:hideMark/>
          </w:tcPr>
          <w:p w:rsidR="00BE3920" w:rsidRPr="00BE3920" w:rsidRDefault="00BE3920" w:rsidP="000F32B8">
            <w:pPr>
              <w:rPr>
                <w:sz w:val="18"/>
                <w:szCs w:val="18"/>
              </w:rPr>
            </w:pPr>
            <w:r w:rsidRPr="00BE3920">
              <w:rPr>
                <w:sz w:val="18"/>
                <w:szCs w:val="18"/>
              </w:rPr>
              <w:t>86,0</w:t>
            </w:r>
          </w:p>
        </w:tc>
      </w:tr>
      <w:tr w:rsidR="00CC48E8" w:rsidRPr="00BE3920" w:rsidTr="00CC48E8">
        <w:trPr>
          <w:trHeight w:val="315"/>
        </w:trPr>
        <w:tc>
          <w:tcPr>
            <w:tcW w:w="5000" w:type="pct"/>
            <w:gridSpan w:val="9"/>
            <w:tcBorders>
              <w:top w:val="nil"/>
              <w:left w:val="nil"/>
              <w:bottom w:val="nil"/>
              <w:right w:val="nil"/>
            </w:tcBorders>
            <w:shd w:val="clear" w:color="auto" w:fill="F2F2F2" w:themeFill="background1" w:themeFillShade="F2"/>
            <w:noWrap/>
            <w:hideMark/>
          </w:tcPr>
          <w:p w:rsidR="00CC48E8" w:rsidRPr="00BE3920" w:rsidRDefault="00CC48E8" w:rsidP="00BA3611">
            <w:pPr>
              <w:rPr>
                <w:b/>
                <w:sz w:val="18"/>
                <w:szCs w:val="18"/>
              </w:rPr>
            </w:pPr>
            <w:r w:rsidRPr="00BE3920">
              <w:rPr>
                <w:rFonts w:eastAsia="Times New Roman" w:cs="Arial"/>
                <w:b/>
                <w:sz w:val="18"/>
                <w:szCs w:val="18"/>
                <w:lang w:eastAsia="es-ES"/>
              </w:rPr>
              <w:t>INFORMACIÓN ECONÓMICA, PRESUPUESTARIA Y ESTADÍSTICA</w:t>
            </w:r>
          </w:p>
        </w:tc>
      </w:tr>
      <w:tr w:rsidR="00BE3920" w:rsidRPr="00BE3920" w:rsidTr="00FA5AFD">
        <w:trPr>
          <w:trHeight w:val="315"/>
        </w:trPr>
        <w:tc>
          <w:tcPr>
            <w:tcW w:w="2151" w:type="pct"/>
            <w:tcBorders>
              <w:top w:val="nil"/>
              <w:left w:val="nil"/>
              <w:bottom w:val="nil"/>
              <w:right w:val="nil"/>
            </w:tcBorders>
            <w:shd w:val="clear" w:color="auto" w:fill="F5FDFA"/>
            <w:noWrap/>
            <w:hideMark/>
          </w:tcPr>
          <w:p w:rsidR="00BE3920" w:rsidRPr="00BE3920" w:rsidRDefault="00BE3920" w:rsidP="00CC48E8">
            <w:pPr>
              <w:rPr>
                <w:rFonts w:eastAsia="Times New Roman" w:cs="Arial"/>
                <w:sz w:val="18"/>
                <w:szCs w:val="18"/>
                <w:lang w:eastAsia="es-ES"/>
              </w:rPr>
            </w:pPr>
            <w:bookmarkStart w:id="0" w:name="RANGE!C12"/>
            <w:r w:rsidRPr="00BE3920">
              <w:rPr>
                <w:rFonts w:eastAsia="Times New Roman" w:cs="Arial"/>
                <w:sz w:val="18"/>
                <w:szCs w:val="18"/>
                <w:lang w:eastAsia="es-ES"/>
              </w:rPr>
              <w:t>Contratos</w:t>
            </w:r>
            <w:bookmarkEnd w:id="0"/>
          </w:p>
        </w:tc>
        <w:tc>
          <w:tcPr>
            <w:tcW w:w="465"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398"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458"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292"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292"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292"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298"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354"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r>
      <w:tr w:rsidR="00BE3920" w:rsidRPr="00BE3920" w:rsidTr="00FA5AFD">
        <w:trPr>
          <w:trHeight w:val="315"/>
        </w:trPr>
        <w:tc>
          <w:tcPr>
            <w:tcW w:w="2151" w:type="pct"/>
            <w:tcBorders>
              <w:top w:val="nil"/>
              <w:left w:val="nil"/>
              <w:bottom w:val="nil"/>
              <w:right w:val="nil"/>
            </w:tcBorders>
            <w:shd w:val="clear" w:color="auto" w:fill="F5FDFA"/>
            <w:noWrap/>
            <w:hideMark/>
          </w:tcPr>
          <w:p w:rsidR="00BE3920" w:rsidRPr="00BE3920" w:rsidRDefault="00BE3920" w:rsidP="00CC48E8">
            <w:pPr>
              <w:rPr>
                <w:rFonts w:eastAsia="Times New Roman" w:cs="Arial"/>
                <w:sz w:val="18"/>
                <w:szCs w:val="18"/>
                <w:lang w:eastAsia="es-ES"/>
              </w:rPr>
            </w:pPr>
            <w:r w:rsidRPr="00BE3920">
              <w:rPr>
                <w:rFonts w:eastAsia="Times New Roman" w:cs="Arial"/>
                <w:sz w:val="18"/>
                <w:szCs w:val="18"/>
                <w:lang w:eastAsia="es-ES"/>
              </w:rPr>
              <w:t>Convenios</w:t>
            </w:r>
          </w:p>
        </w:tc>
        <w:tc>
          <w:tcPr>
            <w:tcW w:w="465" w:type="pct"/>
            <w:tcBorders>
              <w:top w:val="nil"/>
              <w:left w:val="nil"/>
              <w:bottom w:val="nil"/>
              <w:right w:val="nil"/>
            </w:tcBorders>
            <w:shd w:val="clear" w:color="auto" w:fill="F5FDFA"/>
            <w:noWrap/>
          </w:tcPr>
          <w:p w:rsidR="00BE3920" w:rsidRPr="00BE3920" w:rsidRDefault="002D35C8" w:rsidP="00BE3920">
            <w:pPr>
              <w:jc w:val="right"/>
              <w:rPr>
                <w:sz w:val="18"/>
                <w:szCs w:val="18"/>
              </w:rPr>
            </w:pPr>
            <w:r>
              <w:rPr>
                <w:sz w:val="18"/>
                <w:szCs w:val="18"/>
              </w:rPr>
              <w:t>86</w:t>
            </w:r>
            <w:r w:rsidR="00BE3920" w:rsidRPr="00BE3920">
              <w:rPr>
                <w:sz w:val="18"/>
                <w:szCs w:val="18"/>
              </w:rPr>
              <w:t>,0</w:t>
            </w:r>
          </w:p>
        </w:tc>
        <w:tc>
          <w:tcPr>
            <w:tcW w:w="398"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458"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292"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292"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292"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298"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354" w:type="pct"/>
            <w:tcBorders>
              <w:top w:val="nil"/>
              <w:left w:val="nil"/>
              <w:bottom w:val="nil"/>
              <w:right w:val="nil"/>
            </w:tcBorders>
            <w:shd w:val="clear" w:color="auto" w:fill="F5FDFA"/>
            <w:noWrap/>
          </w:tcPr>
          <w:p w:rsidR="00BE3920" w:rsidRPr="00BE3920" w:rsidRDefault="00BE3920" w:rsidP="002D35C8">
            <w:pPr>
              <w:jc w:val="right"/>
              <w:rPr>
                <w:sz w:val="18"/>
                <w:szCs w:val="18"/>
              </w:rPr>
            </w:pPr>
            <w:r w:rsidRPr="00BE3920">
              <w:rPr>
                <w:sz w:val="18"/>
                <w:szCs w:val="18"/>
              </w:rPr>
              <w:t>9</w:t>
            </w:r>
            <w:r w:rsidR="002D35C8">
              <w:rPr>
                <w:sz w:val="18"/>
                <w:szCs w:val="18"/>
              </w:rPr>
              <w:t>8</w:t>
            </w:r>
            <w:r w:rsidRPr="00BE3920">
              <w:rPr>
                <w:sz w:val="18"/>
                <w:szCs w:val="18"/>
              </w:rPr>
              <w:t>,0</w:t>
            </w:r>
          </w:p>
        </w:tc>
      </w:tr>
      <w:tr w:rsidR="00363E1C" w:rsidRPr="00BE3920" w:rsidTr="00363E1C">
        <w:trPr>
          <w:trHeight w:val="315"/>
        </w:trPr>
        <w:tc>
          <w:tcPr>
            <w:tcW w:w="2151" w:type="pct"/>
            <w:tcBorders>
              <w:top w:val="nil"/>
              <w:left w:val="nil"/>
              <w:bottom w:val="nil"/>
              <w:right w:val="nil"/>
            </w:tcBorders>
            <w:shd w:val="clear" w:color="auto" w:fill="F5FDFA"/>
            <w:noWrap/>
            <w:hideMark/>
          </w:tcPr>
          <w:p w:rsidR="00363E1C" w:rsidRPr="00BE3920" w:rsidRDefault="00363E1C" w:rsidP="00CC48E8">
            <w:pPr>
              <w:rPr>
                <w:rFonts w:eastAsia="Times New Roman" w:cs="Arial"/>
                <w:sz w:val="18"/>
                <w:szCs w:val="18"/>
                <w:lang w:eastAsia="es-ES"/>
              </w:rPr>
            </w:pPr>
            <w:r w:rsidRPr="00BE3920">
              <w:rPr>
                <w:rFonts w:eastAsia="Times New Roman" w:cs="Arial"/>
                <w:sz w:val="18"/>
                <w:szCs w:val="18"/>
                <w:lang w:eastAsia="es-ES"/>
              </w:rPr>
              <w:t>Encomiendas</w:t>
            </w:r>
          </w:p>
        </w:tc>
        <w:tc>
          <w:tcPr>
            <w:tcW w:w="2849" w:type="pct"/>
            <w:gridSpan w:val="8"/>
            <w:tcBorders>
              <w:top w:val="nil"/>
              <w:left w:val="nil"/>
              <w:bottom w:val="nil"/>
              <w:right w:val="nil"/>
            </w:tcBorders>
            <w:shd w:val="clear" w:color="auto" w:fill="F5FDFA"/>
            <w:noWrap/>
          </w:tcPr>
          <w:p w:rsidR="00363E1C" w:rsidRPr="00BE3920" w:rsidRDefault="00363E1C" w:rsidP="00363E1C">
            <w:pPr>
              <w:jc w:val="center"/>
              <w:rPr>
                <w:sz w:val="18"/>
                <w:szCs w:val="18"/>
              </w:rPr>
            </w:pPr>
            <w:r w:rsidRPr="00BE3920">
              <w:rPr>
                <w:sz w:val="18"/>
                <w:szCs w:val="18"/>
              </w:rPr>
              <w:t>NO APLICABLE</w:t>
            </w:r>
          </w:p>
        </w:tc>
      </w:tr>
      <w:tr w:rsidR="00363E1C" w:rsidRPr="00BE3920" w:rsidTr="00363E1C">
        <w:trPr>
          <w:trHeight w:val="315"/>
        </w:trPr>
        <w:tc>
          <w:tcPr>
            <w:tcW w:w="2151" w:type="pct"/>
            <w:tcBorders>
              <w:top w:val="nil"/>
              <w:left w:val="nil"/>
              <w:bottom w:val="nil"/>
              <w:right w:val="nil"/>
            </w:tcBorders>
            <w:shd w:val="clear" w:color="auto" w:fill="F5FDFA"/>
            <w:noWrap/>
          </w:tcPr>
          <w:p w:rsidR="00363E1C" w:rsidRPr="00BE3920" w:rsidRDefault="00363E1C" w:rsidP="00CC48E8">
            <w:pPr>
              <w:rPr>
                <w:rFonts w:eastAsia="Times New Roman" w:cs="Arial"/>
                <w:sz w:val="18"/>
                <w:szCs w:val="18"/>
                <w:lang w:eastAsia="es-ES"/>
              </w:rPr>
            </w:pPr>
            <w:r w:rsidRPr="00BE3920">
              <w:rPr>
                <w:rFonts w:eastAsia="Times New Roman" w:cs="Arial"/>
                <w:sz w:val="18"/>
                <w:szCs w:val="18"/>
                <w:lang w:eastAsia="es-ES"/>
              </w:rPr>
              <w:t>Subvenciones</w:t>
            </w:r>
          </w:p>
        </w:tc>
        <w:tc>
          <w:tcPr>
            <w:tcW w:w="2849" w:type="pct"/>
            <w:gridSpan w:val="8"/>
            <w:tcBorders>
              <w:top w:val="nil"/>
              <w:left w:val="nil"/>
              <w:bottom w:val="nil"/>
              <w:right w:val="nil"/>
            </w:tcBorders>
            <w:shd w:val="clear" w:color="auto" w:fill="F5FDFA"/>
            <w:noWrap/>
          </w:tcPr>
          <w:p w:rsidR="00363E1C" w:rsidRPr="00BE3920" w:rsidRDefault="00363E1C" w:rsidP="00363E1C">
            <w:pPr>
              <w:jc w:val="center"/>
              <w:rPr>
                <w:sz w:val="18"/>
                <w:szCs w:val="18"/>
              </w:rPr>
            </w:pPr>
            <w:r w:rsidRPr="00BE3920">
              <w:rPr>
                <w:sz w:val="18"/>
                <w:szCs w:val="18"/>
              </w:rPr>
              <w:t>NO APLICABLE</w:t>
            </w:r>
          </w:p>
        </w:tc>
      </w:tr>
      <w:tr w:rsidR="00BE3920" w:rsidRPr="00BE3920" w:rsidTr="009F4C16">
        <w:trPr>
          <w:trHeight w:val="315"/>
        </w:trPr>
        <w:tc>
          <w:tcPr>
            <w:tcW w:w="2151" w:type="pct"/>
            <w:tcBorders>
              <w:top w:val="nil"/>
              <w:left w:val="nil"/>
              <w:bottom w:val="nil"/>
              <w:right w:val="nil"/>
            </w:tcBorders>
            <w:shd w:val="clear" w:color="auto" w:fill="F5FDFA"/>
            <w:noWrap/>
            <w:hideMark/>
          </w:tcPr>
          <w:p w:rsidR="00BE3920" w:rsidRPr="00BE3920" w:rsidRDefault="00BE3920" w:rsidP="00CC48E8">
            <w:pPr>
              <w:rPr>
                <w:rFonts w:eastAsia="Times New Roman" w:cs="Arial"/>
                <w:sz w:val="18"/>
                <w:szCs w:val="18"/>
                <w:lang w:eastAsia="es-ES"/>
              </w:rPr>
            </w:pPr>
            <w:r w:rsidRPr="00BE3920">
              <w:rPr>
                <w:rFonts w:eastAsia="Times New Roman" w:cs="Arial"/>
                <w:sz w:val="18"/>
                <w:szCs w:val="18"/>
                <w:lang w:eastAsia="es-ES"/>
              </w:rPr>
              <w:t>Presupuestos</w:t>
            </w:r>
          </w:p>
        </w:tc>
        <w:tc>
          <w:tcPr>
            <w:tcW w:w="465"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398"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458"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292"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292"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292"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298"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354"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r>
      <w:tr w:rsidR="00BE3920" w:rsidRPr="00BE3920" w:rsidTr="009F4C16">
        <w:trPr>
          <w:trHeight w:val="315"/>
        </w:trPr>
        <w:tc>
          <w:tcPr>
            <w:tcW w:w="2151" w:type="pct"/>
            <w:tcBorders>
              <w:top w:val="nil"/>
              <w:left w:val="nil"/>
              <w:bottom w:val="nil"/>
              <w:right w:val="nil"/>
            </w:tcBorders>
            <w:shd w:val="clear" w:color="auto" w:fill="F5FDFA"/>
            <w:noWrap/>
            <w:hideMark/>
          </w:tcPr>
          <w:p w:rsidR="00BE3920" w:rsidRPr="00BE3920" w:rsidRDefault="00BE3920" w:rsidP="00CC48E8">
            <w:pPr>
              <w:rPr>
                <w:rFonts w:eastAsia="Times New Roman" w:cs="Arial"/>
                <w:sz w:val="18"/>
                <w:szCs w:val="18"/>
                <w:lang w:eastAsia="es-ES"/>
              </w:rPr>
            </w:pPr>
            <w:r w:rsidRPr="00BE3920">
              <w:rPr>
                <w:rFonts w:eastAsia="Times New Roman" w:cs="Arial"/>
                <w:sz w:val="18"/>
                <w:szCs w:val="18"/>
                <w:lang w:eastAsia="es-ES"/>
              </w:rPr>
              <w:t>Cuentas anuales e Informes de Auditoría</w:t>
            </w:r>
          </w:p>
        </w:tc>
        <w:tc>
          <w:tcPr>
            <w:tcW w:w="465"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398"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458"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292"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292"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292"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298"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354"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r>
      <w:tr w:rsidR="00BE3920" w:rsidRPr="00BE3920" w:rsidTr="009F4C16">
        <w:trPr>
          <w:trHeight w:val="315"/>
        </w:trPr>
        <w:tc>
          <w:tcPr>
            <w:tcW w:w="2151" w:type="pct"/>
            <w:tcBorders>
              <w:top w:val="nil"/>
              <w:left w:val="nil"/>
              <w:bottom w:val="nil"/>
              <w:right w:val="nil"/>
            </w:tcBorders>
            <w:shd w:val="clear" w:color="auto" w:fill="F5FDFA"/>
            <w:noWrap/>
            <w:hideMark/>
          </w:tcPr>
          <w:p w:rsidR="00BE3920" w:rsidRPr="00BE3920" w:rsidRDefault="00BE3920" w:rsidP="00CC48E8">
            <w:pPr>
              <w:rPr>
                <w:rFonts w:eastAsia="Times New Roman" w:cs="Arial"/>
                <w:sz w:val="18"/>
                <w:szCs w:val="18"/>
                <w:lang w:eastAsia="es-ES"/>
              </w:rPr>
            </w:pPr>
            <w:r w:rsidRPr="00BE3920">
              <w:rPr>
                <w:rFonts w:eastAsia="Times New Roman" w:cs="Arial"/>
                <w:sz w:val="18"/>
                <w:szCs w:val="18"/>
                <w:lang w:eastAsia="es-ES"/>
              </w:rPr>
              <w:t>Retribuciones e Indemnizaciones Altos Cargos</w:t>
            </w:r>
          </w:p>
        </w:tc>
        <w:tc>
          <w:tcPr>
            <w:tcW w:w="465"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50,0</w:t>
            </w:r>
          </w:p>
        </w:tc>
        <w:tc>
          <w:tcPr>
            <w:tcW w:w="398"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50,0</w:t>
            </w:r>
          </w:p>
        </w:tc>
        <w:tc>
          <w:tcPr>
            <w:tcW w:w="458"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50,0</w:t>
            </w:r>
          </w:p>
        </w:tc>
        <w:tc>
          <w:tcPr>
            <w:tcW w:w="292"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50,0</w:t>
            </w:r>
          </w:p>
        </w:tc>
        <w:tc>
          <w:tcPr>
            <w:tcW w:w="292"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50,0</w:t>
            </w:r>
          </w:p>
        </w:tc>
        <w:tc>
          <w:tcPr>
            <w:tcW w:w="292"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50,0</w:t>
            </w:r>
          </w:p>
        </w:tc>
        <w:tc>
          <w:tcPr>
            <w:tcW w:w="298"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50,0</w:t>
            </w:r>
          </w:p>
        </w:tc>
        <w:tc>
          <w:tcPr>
            <w:tcW w:w="354"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50,0</w:t>
            </w:r>
          </w:p>
        </w:tc>
      </w:tr>
      <w:tr w:rsidR="00363E1C" w:rsidRPr="00BE3920" w:rsidTr="00363E1C">
        <w:trPr>
          <w:trHeight w:val="265"/>
        </w:trPr>
        <w:tc>
          <w:tcPr>
            <w:tcW w:w="2151" w:type="pct"/>
            <w:tcBorders>
              <w:top w:val="nil"/>
              <w:left w:val="nil"/>
              <w:bottom w:val="nil"/>
              <w:right w:val="nil"/>
            </w:tcBorders>
            <w:shd w:val="clear" w:color="auto" w:fill="F5FDFA"/>
            <w:noWrap/>
          </w:tcPr>
          <w:p w:rsidR="00363E1C" w:rsidRPr="00BE3920" w:rsidRDefault="00363E1C" w:rsidP="00CC48E8">
            <w:pPr>
              <w:rPr>
                <w:rFonts w:eastAsia="Times New Roman" w:cs="Arial"/>
                <w:sz w:val="18"/>
                <w:szCs w:val="18"/>
                <w:lang w:eastAsia="es-ES"/>
              </w:rPr>
            </w:pPr>
            <w:r w:rsidRPr="00BE3920">
              <w:rPr>
                <w:rFonts w:eastAsia="Times New Roman" w:cs="Arial"/>
                <w:sz w:val="18"/>
                <w:szCs w:val="18"/>
                <w:lang w:eastAsia="es-ES"/>
              </w:rPr>
              <w:t>Compatibilidades empleados y autorizaciones actividad privada Altos Cargos</w:t>
            </w:r>
          </w:p>
        </w:tc>
        <w:tc>
          <w:tcPr>
            <w:tcW w:w="2849" w:type="pct"/>
            <w:gridSpan w:val="8"/>
            <w:tcBorders>
              <w:top w:val="nil"/>
              <w:left w:val="nil"/>
              <w:bottom w:val="nil"/>
              <w:right w:val="nil"/>
            </w:tcBorders>
            <w:shd w:val="clear" w:color="auto" w:fill="F5FDFA"/>
            <w:noWrap/>
          </w:tcPr>
          <w:p w:rsidR="00363E1C" w:rsidRPr="00BE3920" w:rsidRDefault="00363E1C" w:rsidP="00363E1C">
            <w:pPr>
              <w:jc w:val="center"/>
              <w:rPr>
                <w:sz w:val="18"/>
                <w:szCs w:val="18"/>
              </w:rPr>
            </w:pPr>
            <w:r w:rsidRPr="00BE3920">
              <w:rPr>
                <w:sz w:val="18"/>
                <w:szCs w:val="18"/>
              </w:rPr>
              <w:t>NO APLICABLE</w:t>
            </w:r>
          </w:p>
        </w:tc>
      </w:tr>
      <w:tr w:rsidR="00BE3920" w:rsidRPr="00BE3920" w:rsidTr="009F4C16">
        <w:trPr>
          <w:trHeight w:val="265"/>
        </w:trPr>
        <w:tc>
          <w:tcPr>
            <w:tcW w:w="2151" w:type="pct"/>
            <w:tcBorders>
              <w:top w:val="nil"/>
              <w:left w:val="nil"/>
              <w:bottom w:val="nil"/>
              <w:right w:val="nil"/>
            </w:tcBorders>
            <w:shd w:val="clear" w:color="auto" w:fill="F5FDFA"/>
            <w:noWrap/>
            <w:hideMark/>
          </w:tcPr>
          <w:p w:rsidR="00BE3920" w:rsidRPr="00BE3920" w:rsidRDefault="00BE3920" w:rsidP="00CC48E8">
            <w:pPr>
              <w:rPr>
                <w:rFonts w:eastAsia="Times New Roman" w:cs="Arial"/>
                <w:sz w:val="18"/>
                <w:szCs w:val="18"/>
                <w:lang w:eastAsia="es-ES"/>
              </w:rPr>
            </w:pPr>
            <w:r w:rsidRPr="00BE3920">
              <w:rPr>
                <w:rFonts w:eastAsia="Times New Roman" w:cs="Arial"/>
                <w:sz w:val="18"/>
                <w:szCs w:val="18"/>
                <w:lang w:eastAsia="es-ES"/>
              </w:rPr>
              <w:t>Información Estadística</w:t>
            </w:r>
          </w:p>
        </w:tc>
        <w:tc>
          <w:tcPr>
            <w:tcW w:w="465"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398"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458"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292"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292"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292"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298"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c>
          <w:tcPr>
            <w:tcW w:w="354" w:type="pct"/>
            <w:tcBorders>
              <w:top w:val="nil"/>
              <w:left w:val="nil"/>
              <w:bottom w:val="nil"/>
              <w:right w:val="nil"/>
            </w:tcBorders>
            <w:shd w:val="clear" w:color="auto" w:fill="F5FDFA"/>
            <w:noWrap/>
          </w:tcPr>
          <w:p w:rsidR="00BE3920" w:rsidRPr="00BE3920" w:rsidRDefault="00BE3920" w:rsidP="00BE3920">
            <w:pPr>
              <w:jc w:val="right"/>
              <w:rPr>
                <w:sz w:val="18"/>
                <w:szCs w:val="18"/>
              </w:rPr>
            </w:pPr>
            <w:r w:rsidRPr="00BE3920">
              <w:rPr>
                <w:sz w:val="18"/>
                <w:szCs w:val="18"/>
              </w:rPr>
              <w:t>100,0</w:t>
            </w:r>
          </w:p>
        </w:tc>
      </w:tr>
      <w:tr w:rsidR="00BE3920" w:rsidRPr="00BE3920" w:rsidTr="00FA5AFD">
        <w:trPr>
          <w:trHeight w:val="315"/>
        </w:trPr>
        <w:tc>
          <w:tcPr>
            <w:tcW w:w="2151" w:type="pct"/>
            <w:tcBorders>
              <w:top w:val="nil"/>
              <w:left w:val="nil"/>
              <w:bottom w:val="nil"/>
              <w:right w:val="nil"/>
            </w:tcBorders>
            <w:shd w:val="clear" w:color="auto" w:fill="65AD82"/>
            <w:noWrap/>
            <w:hideMark/>
          </w:tcPr>
          <w:p w:rsidR="00BE3920" w:rsidRPr="00BE3920" w:rsidRDefault="00BE3920" w:rsidP="00FA5AFD">
            <w:pPr>
              <w:jc w:val="right"/>
              <w:rPr>
                <w:rFonts w:eastAsia="Times New Roman" w:cs="Arial"/>
                <w:b/>
                <w:color w:val="FFFFFF" w:themeColor="background1"/>
                <w:sz w:val="18"/>
                <w:szCs w:val="18"/>
                <w:lang w:eastAsia="es-ES"/>
              </w:rPr>
            </w:pPr>
            <w:r w:rsidRPr="00BE3920">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hideMark/>
          </w:tcPr>
          <w:p w:rsidR="00BE3920" w:rsidRPr="00BE3920" w:rsidRDefault="00BE3920" w:rsidP="002D35C8">
            <w:pPr>
              <w:jc w:val="right"/>
              <w:rPr>
                <w:b/>
                <w:color w:val="FFFFFF" w:themeColor="background1"/>
                <w:sz w:val="18"/>
                <w:szCs w:val="18"/>
              </w:rPr>
            </w:pPr>
            <w:r w:rsidRPr="00BE3920">
              <w:rPr>
                <w:b/>
                <w:color w:val="FFFFFF" w:themeColor="background1"/>
                <w:sz w:val="18"/>
                <w:szCs w:val="18"/>
              </w:rPr>
              <w:t>9</w:t>
            </w:r>
            <w:r w:rsidR="002D35C8">
              <w:rPr>
                <w:b/>
                <w:color w:val="FFFFFF" w:themeColor="background1"/>
                <w:sz w:val="18"/>
                <w:szCs w:val="18"/>
              </w:rPr>
              <w:t>2</w:t>
            </w:r>
            <w:r w:rsidRPr="00BE3920">
              <w:rPr>
                <w:b/>
                <w:color w:val="FFFFFF" w:themeColor="background1"/>
                <w:sz w:val="18"/>
                <w:szCs w:val="18"/>
              </w:rPr>
              <w:t>,0</w:t>
            </w:r>
          </w:p>
        </w:tc>
        <w:tc>
          <w:tcPr>
            <w:tcW w:w="398" w:type="pct"/>
            <w:tcBorders>
              <w:top w:val="nil"/>
              <w:left w:val="nil"/>
              <w:bottom w:val="nil"/>
              <w:right w:val="nil"/>
            </w:tcBorders>
            <w:shd w:val="clear" w:color="auto" w:fill="65AD82"/>
            <w:noWrap/>
          </w:tcPr>
          <w:p w:rsidR="00BE3920" w:rsidRPr="00BE3920" w:rsidRDefault="00BE3920" w:rsidP="00BE3920">
            <w:pPr>
              <w:jc w:val="right"/>
              <w:rPr>
                <w:b/>
                <w:color w:val="FFFFFF" w:themeColor="background1"/>
                <w:sz w:val="18"/>
                <w:szCs w:val="18"/>
              </w:rPr>
            </w:pPr>
            <w:r w:rsidRPr="00BE3920">
              <w:rPr>
                <w:b/>
                <w:color w:val="FFFFFF" w:themeColor="background1"/>
                <w:sz w:val="18"/>
                <w:szCs w:val="18"/>
              </w:rPr>
              <w:t>93,0</w:t>
            </w:r>
          </w:p>
        </w:tc>
        <w:tc>
          <w:tcPr>
            <w:tcW w:w="458" w:type="pct"/>
            <w:tcBorders>
              <w:top w:val="nil"/>
              <w:left w:val="nil"/>
              <w:bottom w:val="nil"/>
              <w:right w:val="nil"/>
            </w:tcBorders>
            <w:shd w:val="clear" w:color="auto" w:fill="65AD82"/>
            <w:noWrap/>
          </w:tcPr>
          <w:p w:rsidR="00BE3920" w:rsidRPr="00BE3920" w:rsidRDefault="00BE3920" w:rsidP="00BE3920">
            <w:pPr>
              <w:jc w:val="right"/>
              <w:rPr>
                <w:b/>
                <w:color w:val="FFFFFF" w:themeColor="background1"/>
                <w:sz w:val="18"/>
                <w:szCs w:val="18"/>
              </w:rPr>
            </w:pPr>
            <w:r w:rsidRPr="00BE3920">
              <w:rPr>
                <w:b/>
                <w:color w:val="FFFFFF" w:themeColor="background1"/>
                <w:sz w:val="18"/>
                <w:szCs w:val="18"/>
              </w:rPr>
              <w:t>93,0</w:t>
            </w:r>
          </w:p>
        </w:tc>
        <w:tc>
          <w:tcPr>
            <w:tcW w:w="292" w:type="pct"/>
            <w:tcBorders>
              <w:top w:val="nil"/>
              <w:left w:val="nil"/>
              <w:bottom w:val="nil"/>
              <w:right w:val="nil"/>
            </w:tcBorders>
            <w:shd w:val="clear" w:color="auto" w:fill="65AD82"/>
            <w:noWrap/>
          </w:tcPr>
          <w:p w:rsidR="00BE3920" w:rsidRPr="00BE3920" w:rsidRDefault="00BE3920" w:rsidP="00BE3920">
            <w:pPr>
              <w:jc w:val="right"/>
              <w:rPr>
                <w:b/>
                <w:color w:val="FFFFFF" w:themeColor="background1"/>
                <w:sz w:val="18"/>
                <w:szCs w:val="18"/>
              </w:rPr>
            </w:pPr>
            <w:r w:rsidRPr="00BE3920">
              <w:rPr>
                <w:b/>
                <w:color w:val="FFFFFF" w:themeColor="background1"/>
                <w:sz w:val="18"/>
                <w:szCs w:val="18"/>
              </w:rPr>
              <w:t>93,0</w:t>
            </w:r>
          </w:p>
        </w:tc>
        <w:tc>
          <w:tcPr>
            <w:tcW w:w="292" w:type="pct"/>
            <w:tcBorders>
              <w:top w:val="nil"/>
              <w:left w:val="nil"/>
              <w:bottom w:val="nil"/>
              <w:right w:val="nil"/>
            </w:tcBorders>
            <w:shd w:val="clear" w:color="auto" w:fill="65AD82"/>
            <w:noWrap/>
          </w:tcPr>
          <w:p w:rsidR="00BE3920" w:rsidRPr="00BE3920" w:rsidRDefault="00BE3920" w:rsidP="00BE3920">
            <w:pPr>
              <w:jc w:val="right"/>
              <w:rPr>
                <w:b/>
                <w:color w:val="FFFFFF" w:themeColor="background1"/>
                <w:sz w:val="18"/>
                <w:szCs w:val="18"/>
              </w:rPr>
            </w:pPr>
            <w:r w:rsidRPr="00BE3920">
              <w:rPr>
                <w:b/>
                <w:color w:val="FFFFFF" w:themeColor="background1"/>
                <w:sz w:val="18"/>
                <w:szCs w:val="18"/>
              </w:rPr>
              <w:t>93,0</w:t>
            </w:r>
          </w:p>
        </w:tc>
        <w:tc>
          <w:tcPr>
            <w:tcW w:w="292" w:type="pct"/>
            <w:tcBorders>
              <w:top w:val="nil"/>
              <w:left w:val="nil"/>
              <w:bottom w:val="nil"/>
              <w:right w:val="nil"/>
            </w:tcBorders>
            <w:shd w:val="clear" w:color="auto" w:fill="65AD82"/>
            <w:noWrap/>
          </w:tcPr>
          <w:p w:rsidR="00BE3920" w:rsidRPr="00BE3920" w:rsidRDefault="00BE3920" w:rsidP="00BE3920">
            <w:pPr>
              <w:jc w:val="right"/>
              <w:rPr>
                <w:b/>
                <w:color w:val="FFFFFF" w:themeColor="background1"/>
                <w:sz w:val="18"/>
                <w:szCs w:val="18"/>
              </w:rPr>
            </w:pPr>
            <w:r w:rsidRPr="00BE3920">
              <w:rPr>
                <w:b/>
                <w:color w:val="FFFFFF" w:themeColor="background1"/>
                <w:sz w:val="18"/>
                <w:szCs w:val="18"/>
              </w:rPr>
              <w:t>93,0</w:t>
            </w:r>
          </w:p>
        </w:tc>
        <w:tc>
          <w:tcPr>
            <w:tcW w:w="298" w:type="pct"/>
            <w:tcBorders>
              <w:top w:val="nil"/>
              <w:left w:val="nil"/>
              <w:bottom w:val="nil"/>
              <w:right w:val="nil"/>
            </w:tcBorders>
            <w:shd w:val="clear" w:color="auto" w:fill="65AD82"/>
            <w:noWrap/>
          </w:tcPr>
          <w:p w:rsidR="00BE3920" w:rsidRPr="00BE3920" w:rsidRDefault="00BE3920" w:rsidP="00BE3920">
            <w:pPr>
              <w:jc w:val="right"/>
              <w:rPr>
                <w:b/>
                <w:color w:val="FFFFFF" w:themeColor="background1"/>
                <w:sz w:val="18"/>
                <w:szCs w:val="18"/>
              </w:rPr>
            </w:pPr>
            <w:r w:rsidRPr="00BE3920">
              <w:rPr>
                <w:b/>
                <w:color w:val="FFFFFF" w:themeColor="background1"/>
                <w:sz w:val="18"/>
                <w:szCs w:val="18"/>
              </w:rPr>
              <w:t>100,0</w:t>
            </w:r>
          </w:p>
        </w:tc>
        <w:tc>
          <w:tcPr>
            <w:tcW w:w="354" w:type="pct"/>
            <w:tcBorders>
              <w:top w:val="nil"/>
              <w:left w:val="nil"/>
              <w:bottom w:val="nil"/>
              <w:right w:val="nil"/>
            </w:tcBorders>
            <w:shd w:val="clear" w:color="auto" w:fill="65AD82"/>
            <w:noWrap/>
          </w:tcPr>
          <w:p w:rsidR="00BE3920" w:rsidRPr="00BE3920" w:rsidRDefault="00BE3920" w:rsidP="00BE3920">
            <w:pPr>
              <w:jc w:val="right"/>
              <w:rPr>
                <w:b/>
                <w:color w:val="FFFFFF" w:themeColor="background1"/>
                <w:sz w:val="18"/>
                <w:szCs w:val="18"/>
              </w:rPr>
            </w:pPr>
            <w:r w:rsidRPr="00BE3920">
              <w:rPr>
                <w:b/>
                <w:color w:val="FFFFFF" w:themeColor="background1"/>
                <w:sz w:val="18"/>
                <w:szCs w:val="18"/>
              </w:rPr>
              <w:t>94,0</w:t>
            </w:r>
          </w:p>
        </w:tc>
      </w:tr>
      <w:tr w:rsidR="00FA5AFD" w:rsidRPr="00BE3920" w:rsidTr="00FA5AFD">
        <w:trPr>
          <w:trHeight w:val="315"/>
        </w:trPr>
        <w:tc>
          <w:tcPr>
            <w:tcW w:w="2151" w:type="pct"/>
            <w:tcBorders>
              <w:top w:val="nil"/>
              <w:left w:val="nil"/>
              <w:bottom w:val="nil"/>
              <w:right w:val="nil"/>
            </w:tcBorders>
            <w:shd w:val="clear" w:color="auto" w:fill="F2F2F2" w:themeFill="background1" w:themeFillShade="F2"/>
            <w:noWrap/>
          </w:tcPr>
          <w:p w:rsidR="00FA5AFD" w:rsidRPr="00BE3920" w:rsidRDefault="00FA5AFD" w:rsidP="00FA5AFD">
            <w:pPr>
              <w:rPr>
                <w:rFonts w:eastAsia="Times New Roman" w:cs="Arial"/>
                <w:sz w:val="18"/>
                <w:szCs w:val="18"/>
                <w:lang w:eastAsia="es-ES"/>
              </w:rPr>
            </w:pPr>
            <w:r w:rsidRPr="00BE3920">
              <w:rPr>
                <w:rFonts w:eastAsia="Times New Roman" w:cs="Arial"/>
                <w:sz w:val="18"/>
                <w:szCs w:val="18"/>
                <w:lang w:eastAsia="es-ES"/>
              </w:rPr>
              <w:t>INFORMACIÓN PATRIMONIAL</w:t>
            </w:r>
          </w:p>
        </w:tc>
        <w:tc>
          <w:tcPr>
            <w:tcW w:w="465" w:type="pct"/>
            <w:tcBorders>
              <w:top w:val="nil"/>
              <w:left w:val="nil"/>
              <w:bottom w:val="nil"/>
              <w:right w:val="nil"/>
            </w:tcBorders>
            <w:shd w:val="clear" w:color="auto" w:fill="F2F2F2" w:themeFill="background1" w:themeFillShade="F2"/>
            <w:noWrap/>
          </w:tcPr>
          <w:p w:rsidR="00FA5AFD" w:rsidRPr="00BE3920" w:rsidRDefault="00FA5AFD" w:rsidP="009F4C16">
            <w:pPr>
              <w:jc w:val="right"/>
              <w:rPr>
                <w:b/>
                <w:color w:val="FFFFFF" w:themeColor="background1"/>
                <w:sz w:val="18"/>
                <w:szCs w:val="18"/>
              </w:rPr>
            </w:pPr>
          </w:p>
        </w:tc>
        <w:tc>
          <w:tcPr>
            <w:tcW w:w="398" w:type="pct"/>
            <w:tcBorders>
              <w:top w:val="nil"/>
              <w:left w:val="nil"/>
              <w:bottom w:val="nil"/>
              <w:right w:val="nil"/>
            </w:tcBorders>
            <w:shd w:val="clear" w:color="auto" w:fill="F2F2F2" w:themeFill="background1" w:themeFillShade="F2"/>
            <w:noWrap/>
          </w:tcPr>
          <w:p w:rsidR="00FA5AFD" w:rsidRPr="00BE3920" w:rsidRDefault="00FA5AFD" w:rsidP="009F4C16">
            <w:pPr>
              <w:jc w:val="right"/>
              <w:rPr>
                <w:b/>
                <w:color w:val="FFFFFF" w:themeColor="background1"/>
                <w:sz w:val="18"/>
                <w:szCs w:val="18"/>
              </w:rPr>
            </w:pPr>
          </w:p>
        </w:tc>
        <w:tc>
          <w:tcPr>
            <w:tcW w:w="458" w:type="pct"/>
            <w:tcBorders>
              <w:top w:val="nil"/>
              <w:left w:val="nil"/>
              <w:bottom w:val="nil"/>
              <w:right w:val="nil"/>
            </w:tcBorders>
            <w:shd w:val="clear" w:color="auto" w:fill="F2F2F2" w:themeFill="background1" w:themeFillShade="F2"/>
            <w:noWrap/>
          </w:tcPr>
          <w:p w:rsidR="00FA5AFD" w:rsidRPr="00BE3920" w:rsidRDefault="00FA5AFD" w:rsidP="009F4C16">
            <w:pPr>
              <w:jc w:val="right"/>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tcPr>
          <w:p w:rsidR="00FA5AFD" w:rsidRPr="00BE3920" w:rsidRDefault="00FA5AFD" w:rsidP="009F4C16">
            <w:pPr>
              <w:jc w:val="right"/>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tcPr>
          <w:p w:rsidR="00FA5AFD" w:rsidRPr="00BE3920" w:rsidRDefault="00FA5AFD" w:rsidP="009F4C16">
            <w:pPr>
              <w:jc w:val="right"/>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tcPr>
          <w:p w:rsidR="00FA5AFD" w:rsidRPr="00BE3920" w:rsidRDefault="00FA5AFD" w:rsidP="009F4C16">
            <w:pPr>
              <w:jc w:val="right"/>
              <w:rPr>
                <w:b/>
                <w:color w:val="FFFFFF" w:themeColor="background1"/>
                <w:sz w:val="18"/>
                <w:szCs w:val="18"/>
              </w:rPr>
            </w:pPr>
          </w:p>
        </w:tc>
        <w:tc>
          <w:tcPr>
            <w:tcW w:w="298" w:type="pct"/>
            <w:tcBorders>
              <w:top w:val="nil"/>
              <w:left w:val="nil"/>
              <w:bottom w:val="nil"/>
              <w:right w:val="nil"/>
            </w:tcBorders>
            <w:shd w:val="clear" w:color="auto" w:fill="F2F2F2" w:themeFill="background1" w:themeFillShade="F2"/>
            <w:noWrap/>
          </w:tcPr>
          <w:p w:rsidR="00FA5AFD" w:rsidRPr="00BE3920" w:rsidRDefault="00FA5AFD" w:rsidP="009F4C16">
            <w:pPr>
              <w:jc w:val="right"/>
              <w:rPr>
                <w:b/>
                <w:color w:val="FFFFFF" w:themeColor="background1"/>
                <w:sz w:val="18"/>
                <w:szCs w:val="18"/>
              </w:rPr>
            </w:pPr>
          </w:p>
        </w:tc>
        <w:tc>
          <w:tcPr>
            <w:tcW w:w="354" w:type="pct"/>
            <w:tcBorders>
              <w:top w:val="nil"/>
              <w:left w:val="nil"/>
              <w:bottom w:val="nil"/>
              <w:right w:val="nil"/>
            </w:tcBorders>
            <w:shd w:val="clear" w:color="auto" w:fill="F2F2F2" w:themeFill="background1" w:themeFillShade="F2"/>
            <w:noWrap/>
          </w:tcPr>
          <w:p w:rsidR="00FA5AFD" w:rsidRPr="00BE3920" w:rsidRDefault="00FA5AFD" w:rsidP="009F4C16">
            <w:pPr>
              <w:jc w:val="right"/>
              <w:rPr>
                <w:b/>
                <w:color w:val="FFFFFF" w:themeColor="background1"/>
                <w:sz w:val="18"/>
                <w:szCs w:val="18"/>
              </w:rPr>
            </w:pPr>
          </w:p>
        </w:tc>
      </w:tr>
      <w:tr w:rsidR="00BE3920" w:rsidRPr="00BE3920" w:rsidTr="00FA5AFD">
        <w:trPr>
          <w:trHeight w:val="315"/>
        </w:trPr>
        <w:tc>
          <w:tcPr>
            <w:tcW w:w="2151" w:type="pct"/>
            <w:tcBorders>
              <w:top w:val="nil"/>
              <w:left w:val="nil"/>
              <w:bottom w:val="nil"/>
              <w:right w:val="nil"/>
            </w:tcBorders>
            <w:shd w:val="clear" w:color="auto" w:fill="65AD82"/>
            <w:noWrap/>
            <w:hideMark/>
          </w:tcPr>
          <w:p w:rsidR="00BE3920" w:rsidRPr="00BE3920" w:rsidRDefault="00BE3920" w:rsidP="00FA5AFD">
            <w:pPr>
              <w:jc w:val="right"/>
              <w:rPr>
                <w:rFonts w:eastAsia="Times New Roman" w:cs="Arial"/>
                <w:b/>
                <w:color w:val="FFFFFF" w:themeColor="background1"/>
                <w:sz w:val="18"/>
                <w:szCs w:val="18"/>
                <w:lang w:eastAsia="es-ES"/>
              </w:rPr>
            </w:pPr>
            <w:r w:rsidRPr="00BE3920">
              <w:rPr>
                <w:rFonts w:eastAsia="Times New Roman" w:cs="Arial"/>
                <w:b/>
                <w:color w:val="FFFFFF" w:themeColor="background1"/>
                <w:sz w:val="18"/>
                <w:szCs w:val="18"/>
                <w:lang w:eastAsia="es-ES"/>
              </w:rPr>
              <w:t>Total IP</w:t>
            </w:r>
          </w:p>
        </w:tc>
        <w:tc>
          <w:tcPr>
            <w:tcW w:w="465" w:type="pct"/>
            <w:tcBorders>
              <w:top w:val="nil"/>
              <w:left w:val="nil"/>
              <w:bottom w:val="nil"/>
              <w:right w:val="nil"/>
            </w:tcBorders>
            <w:shd w:val="clear" w:color="auto" w:fill="65AD82"/>
            <w:noWrap/>
            <w:hideMark/>
          </w:tcPr>
          <w:p w:rsidR="00BE3920" w:rsidRPr="00BE3920" w:rsidRDefault="00BE3920" w:rsidP="00BE3920">
            <w:pPr>
              <w:jc w:val="right"/>
              <w:rPr>
                <w:b/>
                <w:color w:val="FFFFFF" w:themeColor="background1"/>
                <w:sz w:val="18"/>
                <w:szCs w:val="18"/>
              </w:rPr>
            </w:pPr>
            <w:r w:rsidRPr="00BE3920">
              <w:rPr>
                <w:b/>
                <w:color w:val="FFFFFF" w:themeColor="background1"/>
                <w:sz w:val="18"/>
                <w:szCs w:val="18"/>
              </w:rPr>
              <w:t>100,0</w:t>
            </w:r>
          </w:p>
        </w:tc>
        <w:tc>
          <w:tcPr>
            <w:tcW w:w="398" w:type="pct"/>
            <w:tcBorders>
              <w:top w:val="nil"/>
              <w:left w:val="nil"/>
              <w:bottom w:val="nil"/>
              <w:right w:val="nil"/>
            </w:tcBorders>
            <w:shd w:val="clear" w:color="auto" w:fill="65AD82"/>
            <w:noWrap/>
          </w:tcPr>
          <w:p w:rsidR="00BE3920" w:rsidRPr="00BE3920" w:rsidRDefault="00BE3920" w:rsidP="00BE3920">
            <w:pPr>
              <w:jc w:val="right"/>
              <w:rPr>
                <w:b/>
                <w:color w:val="FFFFFF" w:themeColor="background1"/>
                <w:sz w:val="18"/>
                <w:szCs w:val="18"/>
              </w:rPr>
            </w:pPr>
            <w:r w:rsidRPr="00BE3920">
              <w:rPr>
                <w:b/>
                <w:color w:val="FFFFFF" w:themeColor="background1"/>
                <w:sz w:val="18"/>
                <w:szCs w:val="18"/>
              </w:rPr>
              <w:t>100,0</w:t>
            </w:r>
          </w:p>
        </w:tc>
        <w:tc>
          <w:tcPr>
            <w:tcW w:w="458" w:type="pct"/>
            <w:tcBorders>
              <w:top w:val="nil"/>
              <w:left w:val="nil"/>
              <w:bottom w:val="nil"/>
              <w:right w:val="nil"/>
            </w:tcBorders>
            <w:shd w:val="clear" w:color="auto" w:fill="65AD82"/>
            <w:noWrap/>
          </w:tcPr>
          <w:p w:rsidR="00BE3920" w:rsidRPr="00BE3920" w:rsidRDefault="00BE3920" w:rsidP="00BE3920">
            <w:pPr>
              <w:jc w:val="right"/>
              <w:rPr>
                <w:b/>
                <w:color w:val="FFFFFF" w:themeColor="background1"/>
                <w:sz w:val="18"/>
                <w:szCs w:val="18"/>
              </w:rPr>
            </w:pPr>
            <w:r w:rsidRPr="00BE3920">
              <w:rPr>
                <w:b/>
                <w:color w:val="FFFFFF" w:themeColor="background1"/>
                <w:sz w:val="18"/>
                <w:szCs w:val="18"/>
              </w:rPr>
              <w:t>100,0</w:t>
            </w:r>
          </w:p>
        </w:tc>
        <w:tc>
          <w:tcPr>
            <w:tcW w:w="292" w:type="pct"/>
            <w:tcBorders>
              <w:top w:val="nil"/>
              <w:left w:val="nil"/>
              <w:bottom w:val="nil"/>
              <w:right w:val="nil"/>
            </w:tcBorders>
            <w:shd w:val="clear" w:color="auto" w:fill="65AD82"/>
            <w:noWrap/>
          </w:tcPr>
          <w:p w:rsidR="00BE3920" w:rsidRPr="00BE3920" w:rsidRDefault="00BE3920" w:rsidP="00BE3920">
            <w:pPr>
              <w:jc w:val="right"/>
              <w:rPr>
                <w:b/>
                <w:color w:val="FFFFFF" w:themeColor="background1"/>
                <w:sz w:val="18"/>
                <w:szCs w:val="18"/>
              </w:rPr>
            </w:pPr>
            <w:r w:rsidRPr="00BE3920">
              <w:rPr>
                <w:b/>
                <w:color w:val="FFFFFF" w:themeColor="background1"/>
                <w:sz w:val="18"/>
                <w:szCs w:val="18"/>
              </w:rPr>
              <w:t>100,0</w:t>
            </w:r>
          </w:p>
        </w:tc>
        <w:tc>
          <w:tcPr>
            <w:tcW w:w="292" w:type="pct"/>
            <w:tcBorders>
              <w:top w:val="nil"/>
              <w:left w:val="nil"/>
              <w:bottom w:val="nil"/>
              <w:right w:val="nil"/>
            </w:tcBorders>
            <w:shd w:val="clear" w:color="auto" w:fill="65AD82"/>
            <w:noWrap/>
          </w:tcPr>
          <w:p w:rsidR="00BE3920" w:rsidRPr="00BE3920" w:rsidRDefault="00BE3920" w:rsidP="00BE3920">
            <w:pPr>
              <w:jc w:val="right"/>
              <w:rPr>
                <w:b/>
                <w:color w:val="FFFFFF" w:themeColor="background1"/>
                <w:sz w:val="18"/>
                <w:szCs w:val="18"/>
              </w:rPr>
            </w:pPr>
            <w:r w:rsidRPr="00BE3920">
              <w:rPr>
                <w:b/>
                <w:color w:val="FFFFFF" w:themeColor="background1"/>
                <w:sz w:val="18"/>
                <w:szCs w:val="18"/>
              </w:rPr>
              <w:t>100,0</w:t>
            </w:r>
          </w:p>
        </w:tc>
        <w:tc>
          <w:tcPr>
            <w:tcW w:w="292" w:type="pct"/>
            <w:tcBorders>
              <w:top w:val="nil"/>
              <w:left w:val="nil"/>
              <w:bottom w:val="nil"/>
              <w:right w:val="nil"/>
            </w:tcBorders>
            <w:shd w:val="clear" w:color="auto" w:fill="65AD82"/>
            <w:noWrap/>
          </w:tcPr>
          <w:p w:rsidR="00BE3920" w:rsidRPr="00BE3920" w:rsidRDefault="00BE3920" w:rsidP="00BE3920">
            <w:pPr>
              <w:jc w:val="right"/>
              <w:rPr>
                <w:b/>
                <w:color w:val="FFFFFF" w:themeColor="background1"/>
                <w:sz w:val="18"/>
                <w:szCs w:val="18"/>
              </w:rPr>
            </w:pPr>
            <w:r w:rsidRPr="00BE3920">
              <w:rPr>
                <w:b/>
                <w:color w:val="FFFFFF" w:themeColor="background1"/>
                <w:sz w:val="18"/>
                <w:szCs w:val="18"/>
              </w:rPr>
              <w:t>100,0</w:t>
            </w:r>
          </w:p>
        </w:tc>
        <w:tc>
          <w:tcPr>
            <w:tcW w:w="298" w:type="pct"/>
            <w:tcBorders>
              <w:top w:val="nil"/>
              <w:left w:val="nil"/>
              <w:bottom w:val="nil"/>
              <w:right w:val="nil"/>
            </w:tcBorders>
            <w:shd w:val="clear" w:color="auto" w:fill="65AD82"/>
            <w:noWrap/>
          </w:tcPr>
          <w:p w:rsidR="00BE3920" w:rsidRPr="00BE3920" w:rsidRDefault="00BE3920" w:rsidP="00BE3920">
            <w:pPr>
              <w:jc w:val="right"/>
              <w:rPr>
                <w:b/>
                <w:color w:val="FFFFFF" w:themeColor="background1"/>
                <w:sz w:val="18"/>
                <w:szCs w:val="18"/>
              </w:rPr>
            </w:pPr>
            <w:r w:rsidRPr="00BE3920">
              <w:rPr>
                <w:b/>
                <w:color w:val="FFFFFF" w:themeColor="background1"/>
                <w:sz w:val="18"/>
                <w:szCs w:val="18"/>
              </w:rPr>
              <w:t>100,0</w:t>
            </w:r>
          </w:p>
        </w:tc>
        <w:tc>
          <w:tcPr>
            <w:tcW w:w="354" w:type="pct"/>
            <w:tcBorders>
              <w:top w:val="nil"/>
              <w:left w:val="nil"/>
              <w:bottom w:val="nil"/>
              <w:right w:val="nil"/>
            </w:tcBorders>
            <w:shd w:val="clear" w:color="auto" w:fill="65AD82"/>
            <w:noWrap/>
          </w:tcPr>
          <w:p w:rsidR="00BE3920" w:rsidRPr="00BE3920" w:rsidRDefault="00BE3920" w:rsidP="00BE3920">
            <w:pPr>
              <w:jc w:val="right"/>
              <w:rPr>
                <w:b/>
                <w:color w:val="FFFFFF" w:themeColor="background1"/>
                <w:sz w:val="18"/>
                <w:szCs w:val="18"/>
              </w:rPr>
            </w:pPr>
            <w:r w:rsidRPr="00BE3920">
              <w:rPr>
                <w:b/>
                <w:color w:val="FFFFFF" w:themeColor="background1"/>
                <w:sz w:val="18"/>
                <w:szCs w:val="18"/>
              </w:rPr>
              <w:t>100,0</w:t>
            </w:r>
          </w:p>
        </w:tc>
      </w:tr>
      <w:tr w:rsidR="00FA5AFD" w:rsidRPr="00BE3920" w:rsidTr="00FA5AFD">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FA5AFD" w:rsidRPr="00BE3920" w:rsidRDefault="00FA5AFD" w:rsidP="00FA5AFD">
            <w:pPr>
              <w:jc w:val="right"/>
              <w:rPr>
                <w:rFonts w:eastAsia="Times New Roman" w:cs="Arial"/>
                <w:b/>
                <w:bCs/>
                <w:color w:val="FFFFFF"/>
                <w:sz w:val="18"/>
                <w:szCs w:val="18"/>
                <w:lang w:eastAsia="es-ES"/>
              </w:rPr>
            </w:pPr>
            <w:r w:rsidRPr="00BE3920">
              <w:rPr>
                <w:rFonts w:eastAsia="Times New Roman" w:cs="Arial"/>
                <w:b/>
                <w:bCs/>
                <w:color w:val="FFFFFF"/>
                <w:sz w:val="18"/>
                <w:szCs w:val="18"/>
                <w:lang w:eastAsia="es-ES"/>
              </w:rPr>
              <w:t>INDICE DE CUMPLIMIENTO DE LA INFORMACION OBLIGATORIA</w:t>
            </w:r>
            <w:r w:rsidR="00CC48E8" w:rsidRPr="00BE3920">
              <w:rPr>
                <w:rFonts w:eastAsia="Times New Roman" w:cs="Arial"/>
                <w:b/>
                <w:bCs/>
                <w:color w:val="FFFFFF"/>
                <w:sz w:val="18"/>
                <w:szCs w:val="18"/>
                <w:lang w:eastAsia="es-ES"/>
              </w:rPr>
              <w:t xml:space="preserve"> (ICIO)</w:t>
            </w:r>
          </w:p>
        </w:tc>
        <w:tc>
          <w:tcPr>
            <w:tcW w:w="354" w:type="pct"/>
            <w:tcBorders>
              <w:top w:val="single" w:sz="4" w:space="0" w:color="333333"/>
              <w:left w:val="single" w:sz="4" w:space="0" w:color="993366"/>
              <w:bottom w:val="single" w:sz="4" w:space="0" w:color="333333"/>
              <w:right w:val="nil"/>
            </w:tcBorders>
            <w:shd w:val="clear" w:color="auto" w:fill="auto"/>
            <w:noWrap/>
            <w:hideMark/>
          </w:tcPr>
          <w:p w:rsidR="00FA5AFD" w:rsidRPr="00BE3920" w:rsidRDefault="00BE3920" w:rsidP="00BA3611">
            <w:pPr>
              <w:jc w:val="right"/>
              <w:rPr>
                <w:rFonts w:eastAsia="Times New Roman" w:cs="Arial"/>
                <w:b/>
                <w:sz w:val="18"/>
                <w:szCs w:val="18"/>
                <w:lang w:eastAsia="es-ES"/>
              </w:rPr>
            </w:pPr>
            <w:r w:rsidRPr="00BE3920">
              <w:rPr>
                <w:rFonts w:eastAsia="Times New Roman" w:cs="Arial"/>
                <w:b/>
                <w:sz w:val="18"/>
                <w:szCs w:val="18"/>
                <w:lang w:eastAsia="es-ES"/>
              </w:rPr>
              <w:t>83,0</w:t>
            </w:r>
          </w:p>
        </w:tc>
      </w:tr>
    </w:tbl>
    <w:p w:rsidR="00FA5AFD" w:rsidRDefault="00FA5AFD" w:rsidP="00F05E2C">
      <w:pPr>
        <w:pStyle w:val="Cuerpodelboletn"/>
        <w:rPr>
          <w:lang w:bidi="es-ES"/>
        </w:rPr>
      </w:pPr>
    </w:p>
    <w:p w:rsidR="003F6EDC" w:rsidRDefault="005C4778" w:rsidP="00BA14E6">
      <w:pPr>
        <w:pStyle w:val="Cuerpodelboletn"/>
        <w:spacing w:line="276" w:lineRule="auto"/>
      </w:pPr>
      <w:r>
        <w:t xml:space="preserve">Una vez efectuada la revisión de la información sujeta a obligaciones de publicidad activa se ha constatado un incremento del </w:t>
      </w:r>
      <w:r w:rsidR="00E73F4D">
        <w:t>Índice de C</w:t>
      </w:r>
      <w:r>
        <w:t xml:space="preserve">umplimiento </w:t>
      </w:r>
      <w:r w:rsidR="00E73F4D">
        <w:t xml:space="preserve">de la Información Obligatoria </w:t>
      </w:r>
      <w:r w:rsidR="00BA14E6">
        <w:t xml:space="preserve">(ICIO) </w:t>
      </w:r>
      <w:r w:rsidR="00E73F4D">
        <w:t xml:space="preserve">en un </w:t>
      </w:r>
      <w:r w:rsidR="00FB0127">
        <w:t>33,7</w:t>
      </w:r>
      <w:r w:rsidR="00E73F4D">
        <w:t xml:space="preserve">%. </w:t>
      </w:r>
      <w:r w:rsidR="00BA14E6">
        <w:t>El ICIO de</w:t>
      </w:r>
      <w:r w:rsidR="00E73F4D">
        <w:t xml:space="preserve"> </w:t>
      </w:r>
      <w:r w:rsidR="00FB0127">
        <w:t>UMIVALE</w:t>
      </w:r>
      <w:r w:rsidR="00E73F4D">
        <w:t xml:space="preserve"> ha pasado de </w:t>
      </w:r>
      <w:r w:rsidR="00BA14E6">
        <w:t xml:space="preserve">un </w:t>
      </w:r>
      <w:r w:rsidR="00BE3920">
        <w:t>62.10</w:t>
      </w:r>
      <w:r w:rsidR="00BA14E6">
        <w:t xml:space="preserve">% (equivalente a una puntuación de </w:t>
      </w:r>
      <w:r w:rsidR="00BE3920">
        <w:t>6,21</w:t>
      </w:r>
      <w:r w:rsidR="00BA14E6">
        <w:t xml:space="preserve"> puntos sobre 10) a un </w:t>
      </w:r>
      <w:r w:rsidR="00BE3920">
        <w:t>83</w:t>
      </w:r>
      <w:r w:rsidR="00BA14E6">
        <w:t xml:space="preserve">% (equivalente a </w:t>
      </w:r>
      <w:r w:rsidR="00BE3920">
        <w:t>8,30</w:t>
      </w:r>
      <w:r w:rsidR="00BA14E6">
        <w:t>), lo que puede considerarse un nivel de cumplimiento</w:t>
      </w:r>
      <w:r w:rsidR="00BE3920">
        <w:t xml:space="preserve"> elevado</w:t>
      </w:r>
      <w:r w:rsidR="00BA14E6">
        <w:t>.</w:t>
      </w:r>
    </w:p>
    <w:p w:rsidR="00FF1D02" w:rsidRDefault="00FF1D02" w:rsidP="00BA14E6">
      <w:pPr>
        <w:pStyle w:val="Cuerpodelboletn"/>
        <w:spacing w:line="276" w:lineRule="auto"/>
      </w:pPr>
    </w:p>
    <w:p w:rsidR="00714C54" w:rsidRDefault="00714C54" w:rsidP="00F05E2C">
      <w:pPr>
        <w:pStyle w:val="Cuerpodelboletn"/>
      </w:pPr>
    </w:p>
    <w:p w:rsidR="00A24E51" w:rsidRDefault="00A24E51" w:rsidP="00F05E2C">
      <w:pPr>
        <w:pStyle w:val="Cuerpodelboletn"/>
        <w:sectPr w:rsidR="00A24E51" w:rsidSect="003F6EDC">
          <w:type w:val="continuous"/>
          <w:pgSz w:w="11906" w:h="16838" w:code="9"/>
          <w:pgMar w:top="1440" w:right="720" w:bottom="1440" w:left="720" w:header="720" w:footer="720" w:gutter="0"/>
          <w:cols w:space="720"/>
          <w:docGrid w:linePitch="326"/>
        </w:sectPr>
      </w:pPr>
    </w:p>
    <w:sdt>
      <w:sdtPr>
        <w:rPr>
          <w:b/>
          <w:color w:val="auto"/>
          <w:sz w:val="30"/>
          <w:szCs w:val="30"/>
        </w:rPr>
        <w:id w:val="1307893759"/>
        <w:placeholder>
          <w:docPart w:val="4041ECFB4E934057B7EF021C0F3E2D14"/>
        </w:placeholder>
      </w:sdtPr>
      <w:sdtEndPr/>
      <w:sdtContent>
        <w:p w:rsidR="004720A5" w:rsidRPr="002D27E4" w:rsidRDefault="00FF1D02" w:rsidP="001763F8">
          <w:pPr>
            <w:pStyle w:val="Cuerpodelboletn"/>
            <w:numPr>
              <w:ilvl w:val="0"/>
              <w:numId w:val="2"/>
            </w:numPr>
            <w:rPr>
              <w:sz w:val="30"/>
              <w:szCs w:val="30"/>
            </w:rPr>
          </w:pPr>
          <w:r w:rsidRPr="00B1184C">
            <w:rPr>
              <w:rFonts w:ascii="Arial" w:eastAsia="Arial" w:hAnsi="Arial" w:cs="Arial"/>
              <w:noProof/>
              <w:lang w:eastAsia="es-ES"/>
            </w:rPr>
            <mc:AlternateContent>
              <mc:Choice Requires="wps">
                <w:drawing>
                  <wp:anchor distT="0" distB="0" distL="114300" distR="114300" simplePos="0" relativeHeight="251728896" behindDoc="0" locked="0" layoutInCell="1" allowOverlap="1" wp14:anchorId="2323333A" wp14:editId="1870ED0C">
                    <wp:simplePos x="0" y="0"/>
                    <wp:positionH relativeFrom="page">
                      <wp:posOffset>-9525</wp:posOffset>
                    </wp:positionH>
                    <wp:positionV relativeFrom="page">
                      <wp:posOffset>983615</wp:posOffset>
                    </wp:positionV>
                    <wp:extent cx="8001000" cy="173990"/>
                    <wp:effectExtent l="0" t="0" r="0" b="0"/>
                    <wp:wrapTight wrapText="bothSides">
                      <wp:wrapPolygon edited="0">
                        <wp:start x="0" y="0"/>
                        <wp:lineTo x="0" y="18920"/>
                        <wp:lineTo x="21549" y="18920"/>
                        <wp:lineTo x="21549" y="0"/>
                        <wp:lineTo x="0" y="0"/>
                      </wp:wrapPolygon>
                    </wp:wrapTight>
                    <wp:docPr id="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7.45pt;width:630pt;height:13.7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xPCgIAAPc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6848" behindDoc="0" locked="0" layoutInCell="1" allowOverlap="1" wp14:anchorId="6CE6F08F" wp14:editId="72A79C47">
                    <wp:simplePos x="0" y="0"/>
                    <wp:positionH relativeFrom="page">
                      <wp:posOffset>-9525</wp:posOffset>
                    </wp:positionH>
                    <wp:positionV relativeFrom="page">
                      <wp:posOffset>-12700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F1D02" w:rsidRPr="00F31BC3" w:rsidRDefault="00FF1D02" w:rsidP="00FF1D02">
                                <w:r w:rsidRPr="00965C69">
                                  <w:rPr>
                                    <w:noProof/>
                                    <w:lang w:eastAsia="es-ES"/>
                                  </w:rPr>
                                  <w:drawing>
                                    <wp:inline distT="0" distB="0" distL="0" distR="0" wp14:anchorId="6A573124" wp14:editId="2E05343B">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75pt;margin-top:-1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" fillcolor="#50866c" stroked="f">
                    <v:textbox inset=",7.2pt,,7.2pt">
                      <w:txbxContent>
                        <w:p w:rsidR="00FF1D02" w:rsidRPr="00F31BC3" w:rsidRDefault="00FF1D02" w:rsidP="00FF1D02">
                          <w:r w:rsidRPr="00965C69">
                            <w:rPr>
                              <w:noProof/>
                              <w:lang w:eastAsia="es-ES"/>
                            </w:rPr>
                            <w:drawing>
                              <wp:inline distT="0" distB="0" distL="0" distR="0" wp14:anchorId="6A573124" wp14:editId="2E05343B">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D4047" w:rsidRPr="002D27E4">
            <w:rPr>
              <w:b/>
              <w:color w:val="50866C"/>
              <w:sz w:val="30"/>
              <w:szCs w:val="30"/>
            </w:rPr>
            <w:t>Buenas Prácticas</w:t>
          </w:r>
        </w:p>
      </w:sdtContent>
    </w:sdt>
    <w:p w:rsidR="009E7254" w:rsidRDefault="009E7254" w:rsidP="00965C69">
      <w:pPr>
        <w:pStyle w:val="Cuerpodelboletn"/>
      </w:pPr>
    </w:p>
    <w:p w:rsidR="00BD5C21" w:rsidRDefault="005B79BE" w:rsidP="006D4C90">
      <w:pPr>
        <w:pStyle w:val="Cuerpodelboletn"/>
        <w:spacing w:line="276" w:lineRule="auto"/>
      </w:pPr>
      <w:r>
        <w:t xml:space="preserve">Como buenas prácticas observadas en el portal de transparencia de </w:t>
      </w:r>
      <w:r w:rsidR="00DD799D">
        <w:t>UMIVALE</w:t>
      </w:r>
      <w:r>
        <w:t xml:space="preserve">, </w:t>
      </w:r>
      <w:r w:rsidR="00DD799D">
        <w:t>la</w:t>
      </w:r>
      <w:r>
        <w:t xml:space="preserve"> </w:t>
      </w:r>
      <w:r w:rsidRPr="00DD799D">
        <w:t>descripci</w:t>
      </w:r>
      <w:r w:rsidR="00DD799D">
        <w:t xml:space="preserve">ón </w:t>
      </w:r>
      <w:r w:rsidRPr="00DD799D">
        <w:t xml:space="preserve">de las funciones que desarrollan </w:t>
      </w:r>
      <w:r w:rsidR="00BD5C21" w:rsidRPr="00DD799D">
        <w:t>las</w:t>
      </w:r>
      <w:r w:rsidRPr="00DD799D">
        <w:t xml:space="preserve"> distintas estructu</w:t>
      </w:r>
      <w:r w:rsidR="00DD799D">
        <w:t>ras organizativas de la entidad</w:t>
      </w:r>
      <w:r w:rsidR="00BD5C21">
        <w:t xml:space="preserve"> y la publicación de los </w:t>
      </w:r>
      <w:proofErr w:type="spellStart"/>
      <w:r w:rsidR="00BD5C21">
        <w:t>bonus</w:t>
      </w:r>
      <w:proofErr w:type="spellEnd"/>
      <w:r w:rsidR="00BD5C21">
        <w:t xml:space="preserve"> concedidos a empresas asociadas por cumplimiento de objetivos de reducción del absentismo.</w:t>
      </w:r>
    </w:p>
    <w:p w:rsidR="00BD5C21" w:rsidRDefault="00BD5C21" w:rsidP="00BD5C21">
      <w:pPr>
        <w:pStyle w:val="Cuerpodelboletn"/>
        <w:spacing w:line="276" w:lineRule="auto"/>
      </w:pPr>
      <w:r>
        <w:t xml:space="preserve">UMIVALE también publica su Registro de Actividades de Tratamiento aunque se trata de una información cuya publicación no es aplicable a la entidad. </w:t>
      </w:r>
      <w:r w:rsidR="00DD799D">
        <w:t xml:space="preserve"> </w:t>
      </w:r>
    </w:p>
    <w:p w:rsidR="00FB0127" w:rsidRDefault="00FB0127" w:rsidP="006D4C90">
      <w:pPr>
        <w:pStyle w:val="Cuerpodelboletn"/>
        <w:spacing w:line="276" w:lineRule="auto"/>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C02953" w:rsidRDefault="005C4778" w:rsidP="00C61E7F">
      <w:pPr>
        <w:pStyle w:val="Sinespaciado"/>
        <w:spacing w:line="276" w:lineRule="auto"/>
        <w:jc w:val="both"/>
        <w:rPr>
          <w:rFonts w:ascii="Century Gothic" w:hAnsi="Century Gothic"/>
        </w:rPr>
      </w:pPr>
      <w:r w:rsidRPr="00C02953">
        <w:rPr>
          <w:rFonts w:ascii="Century Gothic" w:hAnsi="Century Gothic"/>
        </w:rPr>
        <w:lastRenderedPageBreak/>
        <w:t xml:space="preserve">Este CTBG valora </w:t>
      </w:r>
      <w:r w:rsidR="00C02953">
        <w:rPr>
          <w:rFonts w:ascii="Century Gothic" w:hAnsi="Century Gothic"/>
        </w:rPr>
        <w:t xml:space="preserve">muy </w:t>
      </w:r>
      <w:r w:rsidRPr="00C02953">
        <w:rPr>
          <w:rFonts w:ascii="Century Gothic" w:hAnsi="Century Gothic"/>
        </w:rPr>
        <w:t xml:space="preserve">positivamente el esfuerzo realizado por </w:t>
      </w:r>
      <w:r w:rsidR="00BD5C21">
        <w:rPr>
          <w:rFonts w:ascii="Century Gothic" w:hAnsi="Century Gothic"/>
        </w:rPr>
        <w:t>UMIVALE</w:t>
      </w:r>
      <w:r w:rsidRPr="00C02953">
        <w:rPr>
          <w:rFonts w:ascii="Century Gothic" w:hAnsi="Century Gothic"/>
        </w:rPr>
        <w:t xml:space="preserve"> para aplicar las recomendaciones efectuadas </w:t>
      </w:r>
      <w:r w:rsidR="00521D50">
        <w:rPr>
          <w:rFonts w:ascii="Century Gothic" w:hAnsi="Century Gothic"/>
        </w:rPr>
        <w:t>tras</w:t>
      </w:r>
      <w:r w:rsidRPr="00C02953">
        <w:rPr>
          <w:rFonts w:ascii="Century Gothic" w:hAnsi="Century Gothic"/>
        </w:rPr>
        <w:t xml:space="preserve"> la evaluación realizada en 2019.</w:t>
      </w:r>
      <w:r w:rsidR="00C02953">
        <w:rPr>
          <w:rFonts w:ascii="Century Gothic" w:hAnsi="Century Gothic"/>
        </w:rPr>
        <w:t xml:space="preserve"> Se ha aplicado el </w:t>
      </w:r>
      <w:r w:rsidR="00BD5C21">
        <w:rPr>
          <w:rFonts w:ascii="Century Gothic" w:hAnsi="Century Gothic"/>
        </w:rPr>
        <w:t>89</w:t>
      </w:r>
      <w:r w:rsidR="00C02953">
        <w:rPr>
          <w:rFonts w:ascii="Century Gothic" w:hAnsi="Century Gothic"/>
        </w:rPr>
        <w:t xml:space="preserve">% de </w:t>
      </w:r>
      <w:r w:rsidR="007A45C5">
        <w:rPr>
          <w:rFonts w:ascii="Century Gothic" w:hAnsi="Century Gothic"/>
        </w:rPr>
        <w:t>estas</w:t>
      </w:r>
      <w:r w:rsidR="00C02953">
        <w:rPr>
          <w:rFonts w:ascii="Century Gothic" w:hAnsi="Century Gothic"/>
        </w:rPr>
        <w:t xml:space="preserve"> recomendaciones.</w:t>
      </w:r>
    </w:p>
    <w:p w:rsidR="00C02953" w:rsidRDefault="00C02953" w:rsidP="00C61E7F">
      <w:pPr>
        <w:pStyle w:val="Sinespaciado"/>
        <w:spacing w:line="276" w:lineRule="auto"/>
        <w:jc w:val="both"/>
        <w:rPr>
          <w:rFonts w:ascii="Century Gothic" w:hAnsi="Century Gothic"/>
        </w:rPr>
      </w:pPr>
    </w:p>
    <w:p w:rsidR="00C02953" w:rsidRDefault="00C02953" w:rsidP="00C61E7F">
      <w:pPr>
        <w:pStyle w:val="Sinespaciado"/>
        <w:spacing w:line="276" w:lineRule="auto"/>
        <w:jc w:val="both"/>
        <w:rPr>
          <w:rFonts w:ascii="Century Gothic" w:hAnsi="Century Gothic"/>
        </w:rPr>
      </w:pPr>
      <w:r>
        <w:rPr>
          <w:rFonts w:ascii="Century Gothic" w:hAnsi="Century Gothic"/>
        </w:rPr>
        <w:t xml:space="preserve">Este esfuerzo se ve reflejado en el incremento del Índice de Cumplimiento de la Información Obligatoria que ha pasado de un nivel de cumplimiento del </w:t>
      </w:r>
      <w:r w:rsidR="00BD5C21">
        <w:rPr>
          <w:rFonts w:ascii="Century Gothic" w:hAnsi="Century Gothic"/>
        </w:rPr>
        <w:t>62,1</w:t>
      </w:r>
      <w:r>
        <w:rPr>
          <w:rFonts w:ascii="Century Gothic" w:hAnsi="Century Gothic"/>
        </w:rPr>
        <w:t xml:space="preserve">% a un </w:t>
      </w:r>
      <w:r w:rsidR="00BD5C21">
        <w:rPr>
          <w:rFonts w:ascii="Century Gothic" w:hAnsi="Century Gothic"/>
        </w:rPr>
        <w:t>83</w:t>
      </w:r>
      <w:r>
        <w:rPr>
          <w:rFonts w:ascii="Century Gothic" w:hAnsi="Century Gothic"/>
        </w:rPr>
        <w:t>%.</w:t>
      </w:r>
    </w:p>
    <w:p w:rsidR="00C02953" w:rsidRDefault="00C02953" w:rsidP="00C61E7F">
      <w:pPr>
        <w:pStyle w:val="Sinespaciado"/>
        <w:spacing w:line="276" w:lineRule="auto"/>
        <w:jc w:val="both"/>
        <w:rPr>
          <w:rFonts w:ascii="Century Gothic" w:hAnsi="Century Gothic"/>
        </w:rPr>
      </w:pPr>
    </w:p>
    <w:p w:rsidR="00363E1C" w:rsidRDefault="00C02953" w:rsidP="00C61E7F">
      <w:pPr>
        <w:pStyle w:val="Sinespaciado"/>
        <w:spacing w:line="276" w:lineRule="auto"/>
        <w:jc w:val="both"/>
        <w:rPr>
          <w:rFonts w:ascii="Century Gothic" w:hAnsi="Century Gothic"/>
        </w:rPr>
      </w:pPr>
      <w:r>
        <w:rPr>
          <w:rFonts w:ascii="Century Gothic" w:hAnsi="Century Gothic"/>
        </w:rPr>
        <w:t xml:space="preserve">Como puede apreciarse en la tabla de valoración del ICIO, según bloques de información y atributos, los factores que </w:t>
      </w:r>
      <w:r w:rsidR="00AE6A4F">
        <w:rPr>
          <w:rFonts w:ascii="Century Gothic" w:hAnsi="Century Gothic"/>
        </w:rPr>
        <w:t>explican</w:t>
      </w:r>
      <w:r>
        <w:rPr>
          <w:rFonts w:ascii="Century Gothic" w:hAnsi="Century Gothic"/>
        </w:rPr>
        <w:t xml:space="preserve"> la puntuación obtenida son fundamentalmente</w:t>
      </w:r>
      <w:r w:rsidR="00A10330">
        <w:rPr>
          <w:rFonts w:ascii="Century Gothic" w:hAnsi="Century Gothic"/>
        </w:rPr>
        <w:t xml:space="preserve"> la falta de publicación de algunas informaciones o su publicación sin cumplir los requisitos establecidos por la LTAIBG, como es el caso de los convenios, respecto de los que </w:t>
      </w:r>
      <w:r w:rsidR="00BD5C21">
        <w:rPr>
          <w:rFonts w:ascii="Century Gothic" w:hAnsi="Century Gothic"/>
        </w:rPr>
        <w:t xml:space="preserve">se ha reducido la información en relación con la evaluación de 2019, ya que se proporciona un fichero Excel en el que </w:t>
      </w:r>
      <w:r w:rsidR="001A0F8D">
        <w:rPr>
          <w:rFonts w:ascii="Century Gothic" w:hAnsi="Century Gothic"/>
        </w:rPr>
        <w:t>no se incluyen los convenios que no impliquen obligaciones económicas y no se especifica la cuantía de las obligaciones económicas en el caso de los que si las contemplan</w:t>
      </w:r>
      <w:r w:rsidR="00A10330">
        <w:rPr>
          <w:rFonts w:ascii="Century Gothic" w:hAnsi="Century Gothic"/>
        </w:rPr>
        <w:t xml:space="preserve">. También </w:t>
      </w:r>
      <w:r w:rsidR="00BD5C21">
        <w:rPr>
          <w:rFonts w:ascii="Century Gothic" w:hAnsi="Century Gothic"/>
        </w:rPr>
        <w:t xml:space="preserve">influye </w:t>
      </w:r>
      <w:r w:rsidR="00A10330">
        <w:rPr>
          <w:rFonts w:ascii="Century Gothic" w:hAnsi="Century Gothic"/>
        </w:rPr>
        <w:t>la publicación de informació</w:t>
      </w:r>
      <w:r w:rsidR="00BD5C21">
        <w:rPr>
          <w:rFonts w:ascii="Century Gothic" w:hAnsi="Century Gothic"/>
        </w:rPr>
        <w:t>n en formatos no reutilizable</w:t>
      </w:r>
      <w:r w:rsidR="00A10330">
        <w:rPr>
          <w:rFonts w:ascii="Century Gothic" w:hAnsi="Century Gothic"/>
        </w:rPr>
        <w:t>.</w:t>
      </w:r>
      <w:r>
        <w:rPr>
          <w:rFonts w:ascii="Century Gothic" w:hAnsi="Century Gothic"/>
        </w:rPr>
        <w:t xml:space="preserve"> </w:t>
      </w:r>
    </w:p>
    <w:p w:rsidR="00BD5C21" w:rsidRDefault="00BD5C21" w:rsidP="00C61E7F">
      <w:pPr>
        <w:pStyle w:val="Sinespaciado"/>
        <w:spacing w:line="276" w:lineRule="auto"/>
        <w:jc w:val="both"/>
        <w:rPr>
          <w:rFonts w:ascii="Century Gothic" w:hAnsi="Century Gothic"/>
        </w:rPr>
      </w:pPr>
    </w:p>
    <w:p w:rsidR="00BD5C21" w:rsidRDefault="00BD5C21" w:rsidP="00C61E7F">
      <w:pPr>
        <w:pStyle w:val="Sinespaciado"/>
        <w:spacing w:line="276" w:lineRule="auto"/>
        <w:jc w:val="both"/>
        <w:rPr>
          <w:rFonts w:ascii="Century Gothic" w:hAnsi="Century Gothic"/>
        </w:rPr>
      </w:pPr>
      <w:r>
        <w:rPr>
          <w:rFonts w:ascii="Century Gothic" w:hAnsi="Century Gothic"/>
        </w:rPr>
        <w:t>Respecto de los Planes y Programas UMIVALE ha incluido en el enlace de la misma denominación, un resumen de su política de c</w:t>
      </w:r>
      <w:bookmarkStart w:id="1" w:name="_GoBack"/>
      <w:bookmarkEnd w:id="1"/>
      <w:r>
        <w:rPr>
          <w:rFonts w:ascii="Century Gothic" w:hAnsi="Century Gothic"/>
        </w:rPr>
        <w:t xml:space="preserve">alidad. El </w:t>
      </w:r>
      <w:r w:rsidRPr="00BD5C21">
        <w:rPr>
          <w:rFonts w:ascii="Century Gothic" w:hAnsi="Century Gothic"/>
        </w:rPr>
        <w:t>6.2 de la LTAIBG establece que las Administraciones Públicas publicarán los planes y programas anuales y plurianuales en los que se fijen objetivos concretos,</w:t>
      </w:r>
      <w:r w:rsidRPr="00BD5C21">
        <w:rPr>
          <w:rFonts w:ascii="Century Gothic" w:hAnsi="Century Gothic"/>
          <w:b/>
        </w:rPr>
        <w:t xml:space="preserve"> es decir aquellos planes que ordenen estratégica y operativamente la actividad de</w:t>
      </w:r>
      <w:r>
        <w:rPr>
          <w:rFonts w:ascii="Century Gothic" w:hAnsi="Century Gothic"/>
          <w:b/>
        </w:rPr>
        <w:t xml:space="preserve"> la</w:t>
      </w:r>
      <w:r w:rsidRPr="00BD5C21">
        <w:rPr>
          <w:rFonts w:ascii="Century Gothic" w:hAnsi="Century Gothic"/>
          <w:b/>
        </w:rPr>
        <w:t xml:space="preserve"> </w:t>
      </w:r>
      <w:r>
        <w:rPr>
          <w:rFonts w:ascii="Century Gothic" w:hAnsi="Century Gothic"/>
          <w:b/>
        </w:rPr>
        <w:t>entidad</w:t>
      </w:r>
      <w:r w:rsidRPr="00BD5C21">
        <w:rPr>
          <w:rFonts w:ascii="Century Gothic" w:hAnsi="Century Gothic"/>
        </w:rPr>
        <w:t>.</w:t>
      </w:r>
    </w:p>
    <w:p w:rsidR="00BD5C21" w:rsidRDefault="00BD5C21" w:rsidP="00C61E7F">
      <w:pPr>
        <w:pStyle w:val="Sinespaciado"/>
        <w:spacing w:line="276" w:lineRule="auto"/>
        <w:jc w:val="both"/>
        <w:rPr>
          <w:rFonts w:ascii="Century Gothic" w:hAnsi="Century Gothic"/>
        </w:rPr>
      </w:pPr>
    </w:p>
    <w:p w:rsidR="007A45C5" w:rsidRDefault="00732C0A" w:rsidP="00C61E7F">
      <w:pPr>
        <w:pStyle w:val="Sinespaciado"/>
        <w:spacing w:line="276" w:lineRule="auto"/>
        <w:jc w:val="both"/>
        <w:rPr>
          <w:rFonts w:ascii="Century Gothic" w:hAnsi="Century Gothic"/>
        </w:rPr>
      </w:pPr>
      <w:r w:rsidRPr="00B1184C">
        <w:rPr>
          <w:rFonts w:ascii="Arial" w:eastAsia="Arial" w:hAnsi="Arial" w:cs="Arial"/>
          <w:noProof/>
          <w:lang w:eastAsia="es-ES"/>
        </w:rPr>
        <mc:AlternateContent>
          <mc:Choice Requires="wps">
            <w:drawing>
              <wp:anchor distT="0" distB="0" distL="114300" distR="114300" simplePos="0" relativeHeight="251737088" behindDoc="0" locked="0" layoutInCell="1" allowOverlap="1" wp14:anchorId="34BB83C1" wp14:editId="18BA43B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NCQIAAPg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35040" behindDoc="0" locked="0" layoutInCell="1" allowOverlap="1" wp14:anchorId="252779B1" wp14:editId="767442C8">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4"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32C0A" w:rsidRPr="00F31BC3" w:rsidRDefault="00732C0A" w:rsidP="00732C0A">
                            <w:r w:rsidRPr="00965C69">
                              <w:rPr>
                                <w:noProof/>
                                <w:lang w:eastAsia="es-ES"/>
                              </w:rPr>
                              <w:drawing>
                                <wp:inline distT="0" distB="0" distL="0" distR="0" wp14:anchorId="53BF0202" wp14:editId="61BCDF37">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5pt;margin-top:-.25pt;width:630pt;height:78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" fillcolor="#50866c" stroked="f">
                <v:textbox inset=",7.2pt,,7.2pt">
                  <w:txbxContent>
                    <w:p w:rsidR="00732C0A" w:rsidRPr="00F31BC3" w:rsidRDefault="00732C0A" w:rsidP="00732C0A">
                      <w:r w:rsidRPr="00965C69">
                        <w:rPr>
                          <w:noProof/>
                          <w:lang w:eastAsia="es-ES"/>
                        </w:rPr>
                        <w:drawing>
                          <wp:inline distT="0" distB="0" distL="0" distR="0" wp14:anchorId="53BF0202" wp14:editId="61BCDF37">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AE6A4F" w:rsidRDefault="00AE6A4F" w:rsidP="00C740C2">
      <w:pPr>
        <w:pStyle w:val="Sinespaciado"/>
        <w:spacing w:line="276" w:lineRule="auto"/>
        <w:jc w:val="right"/>
        <w:rPr>
          <w:rFonts w:ascii="Century Gothic" w:hAnsi="Century Gothic"/>
        </w:rPr>
      </w:pPr>
      <w:r>
        <w:rPr>
          <w:rFonts w:ascii="Century Gothic" w:hAnsi="Century Gothic"/>
        </w:rPr>
        <w:t xml:space="preserve">Madrid, </w:t>
      </w:r>
      <w:r w:rsidR="001A0F8D">
        <w:rPr>
          <w:rFonts w:ascii="Century Gothic" w:hAnsi="Century Gothic"/>
        </w:rPr>
        <w:t>junio</w:t>
      </w:r>
      <w:r>
        <w:rPr>
          <w:rFonts w:ascii="Century Gothic" w:hAnsi="Century Gothic"/>
        </w:rPr>
        <w:t xml:space="preserve"> de 2020</w:t>
      </w:r>
    </w:p>
    <w:p w:rsidR="00C740C2" w:rsidRDefault="00C740C2">
      <w:pPr>
        <w:rPr>
          <w:szCs w:val="22"/>
        </w:rPr>
      </w:pPr>
      <w:r>
        <w:br w:type="page"/>
      </w:r>
    </w:p>
    <w:p w:rsidR="009654DA" w:rsidRPr="002D27E4" w:rsidRDefault="002D27E4" w:rsidP="00C740C2">
      <w:pPr>
        <w:pStyle w:val="Cuerpodelboletn"/>
        <w:jc w:val="center"/>
        <w:rPr>
          <w:b/>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F1D02" w:rsidRPr="00F31BC3" w:rsidRDefault="00FF1D02"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juhKcDwIA&#10;AAoEAAAOAAAAAAAAAAAAAAAAAC4CAABkcnMvZTJvRG9jLnhtbFBLAQItABQABgAIAAAAIQAi76BT&#10;3AAAAAcBAAAPAAAAAAAAAAAAAAAAAGkEAABkcnMvZG93bnJldi54bWxQSwUGAAAAAAQABADzAAAA&#10;cgUAAAAA&#10;" fillcolor="#50866c" stroked="f">
                <v:textbox inset=",7.2pt,,7.2pt">
                  <w:txbxContent>
                    <w:p w:rsidR="00FF1D02" w:rsidRPr="00F31BC3" w:rsidRDefault="00FF1D02"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F1D02" w:rsidRPr="00F31BC3" w:rsidRDefault="00FF1D02"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eFaEAIAAAo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il4VoQ&#10;AgAACgQAAA4AAAAAAAAAAAAAAAAALgIAAGRycy9lMm9Eb2MueG1sUEsBAi0AFAAGAAgAAAAhAAQI&#10;aEHdAAAACQEAAA8AAAAAAAAAAAAAAAAAagQAAGRycy9kb3ducmV2LnhtbFBLBQYAAAAABAAEAPMA&#10;AAB0BQAAAAA=&#10;" fillcolor="#50866c" stroked="f">
                    <v:textbox inset=",7.2pt,,7.2pt">
                      <w:txbxContent>
                        <w:p w:rsidR="00FF1D02" w:rsidRPr="00F31BC3" w:rsidRDefault="00FF1D02"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66A" w:rsidRDefault="003B566A" w:rsidP="00F31BC3">
      <w:r>
        <w:separator/>
      </w:r>
    </w:p>
  </w:endnote>
  <w:endnote w:type="continuationSeparator" w:id="0">
    <w:p w:rsidR="003B566A" w:rsidRDefault="003B566A"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66A" w:rsidRDefault="003B566A" w:rsidP="00F31BC3">
      <w:r>
        <w:separator/>
      </w:r>
    </w:p>
  </w:footnote>
  <w:footnote w:type="continuationSeparator" w:id="0">
    <w:p w:rsidR="003B566A" w:rsidRDefault="003B566A"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3"/>
  </w:num>
  <w:num w:numId="3">
    <w:abstractNumId w:val="7"/>
  </w:num>
  <w:num w:numId="4">
    <w:abstractNumId w:val="0"/>
  </w:num>
  <w:num w:numId="5">
    <w:abstractNumId w:val="11"/>
  </w:num>
  <w:num w:numId="6">
    <w:abstractNumId w:val="12"/>
  </w:num>
  <w:num w:numId="7">
    <w:abstractNumId w:val="10"/>
  </w:num>
  <w:num w:numId="8">
    <w:abstractNumId w:val="1"/>
  </w:num>
  <w:num w:numId="9">
    <w:abstractNumId w:val="4"/>
  </w:num>
  <w:num w:numId="10">
    <w:abstractNumId w:val="3"/>
  </w:num>
  <w:num w:numId="11">
    <w:abstractNumId w:val="14"/>
  </w:num>
  <w:num w:numId="12">
    <w:abstractNumId w:val="9"/>
  </w:num>
  <w:num w:numId="13">
    <w:abstractNumId w:val="5"/>
  </w:num>
  <w:num w:numId="14">
    <w:abstractNumId w:val="15"/>
  </w:num>
  <w:num w:numId="15">
    <w:abstractNumId w:val="2"/>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53A0E"/>
    <w:rsid w:val="0005642F"/>
    <w:rsid w:val="00072B7E"/>
    <w:rsid w:val="000775A5"/>
    <w:rsid w:val="000A77F5"/>
    <w:rsid w:val="000D3907"/>
    <w:rsid w:val="000D5417"/>
    <w:rsid w:val="000E0A9E"/>
    <w:rsid w:val="00104DE9"/>
    <w:rsid w:val="00104E94"/>
    <w:rsid w:val="001149B1"/>
    <w:rsid w:val="00132732"/>
    <w:rsid w:val="00146C3C"/>
    <w:rsid w:val="001520CD"/>
    <w:rsid w:val="00164876"/>
    <w:rsid w:val="001763F8"/>
    <w:rsid w:val="00187CDD"/>
    <w:rsid w:val="0019448F"/>
    <w:rsid w:val="001A0DA8"/>
    <w:rsid w:val="001A0F8D"/>
    <w:rsid w:val="001A5305"/>
    <w:rsid w:val="001C3E2F"/>
    <w:rsid w:val="001C4509"/>
    <w:rsid w:val="001C7C78"/>
    <w:rsid w:val="001C7D84"/>
    <w:rsid w:val="001E5AAD"/>
    <w:rsid w:val="0021682B"/>
    <w:rsid w:val="00221159"/>
    <w:rsid w:val="00231D61"/>
    <w:rsid w:val="00243294"/>
    <w:rsid w:val="00244EDA"/>
    <w:rsid w:val="002467FA"/>
    <w:rsid w:val="00263F79"/>
    <w:rsid w:val="002D0702"/>
    <w:rsid w:val="002D27E4"/>
    <w:rsid w:val="002D35C8"/>
    <w:rsid w:val="002E409F"/>
    <w:rsid w:val="0031769F"/>
    <w:rsid w:val="00347877"/>
    <w:rsid w:val="00355DC0"/>
    <w:rsid w:val="00363E1C"/>
    <w:rsid w:val="003A1694"/>
    <w:rsid w:val="003A390C"/>
    <w:rsid w:val="003B566A"/>
    <w:rsid w:val="003B57E6"/>
    <w:rsid w:val="003B6B96"/>
    <w:rsid w:val="003D2C4A"/>
    <w:rsid w:val="003E564B"/>
    <w:rsid w:val="003E5D2F"/>
    <w:rsid w:val="003F6EDC"/>
    <w:rsid w:val="004154FA"/>
    <w:rsid w:val="00415DBD"/>
    <w:rsid w:val="00422B18"/>
    <w:rsid w:val="00460436"/>
    <w:rsid w:val="004720A5"/>
    <w:rsid w:val="0047735C"/>
    <w:rsid w:val="004859CC"/>
    <w:rsid w:val="004A1663"/>
    <w:rsid w:val="004C6440"/>
    <w:rsid w:val="004D50CC"/>
    <w:rsid w:val="004D7037"/>
    <w:rsid w:val="004E7B33"/>
    <w:rsid w:val="00504C73"/>
    <w:rsid w:val="00506864"/>
    <w:rsid w:val="00521D50"/>
    <w:rsid w:val="005301DF"/>
    <w:rsid w:val="00536832"/>
    <w:rsid w:val="00563295"/>
    <w:rsid w:val="00583D05"/>
    <w:rsid w:val="005B1544"/>
    <w:rsid w:val="005B79BE"/>
    <w:rsid w:val="005C4778"/>
    <w:rsid w:val="005E2505"/>
    <w:rsid w:val="005E6704"/>
    <w:rsid w:val="00603DFC"/>
    <w:rsid w:val="00624A18"/>
    <w:rsid w:val="00633EAA"/>
    <w:rsid w:val="0069673B"/>
    <w:rsid w:val="006B75D8"/>
    <w:rsid w:val="006C0CDD"/>
    <w:rsid w:val="006D49E7"/>
    <w:rsid w:val="006D4C90"/>
    <w:rsid w:val="006E75DE"/>
    <w:rsid w:val="007071A8"/>
    <w:rsid w:val="00707C14"/>
    <w:rsid w:val="00714C54"/>
    <w:rsid w:val="00717272"/>
    <w:rsid w:val="00732C0A"/>
    <w:rsid w:val="0073626B"/>
    <w:rsid w:val="00751FAA"/>
    <w:rsid w:val="00755AF9"/>
    <w:rsid w:val="00760E4B"/>
    <w:rsid w:val="0076640C"/>
    <w:rsid w:val="00767C60"/>
    <w:rsid w:val="00775984"/>
    <w:rsid w:val="00777FB3"/>
    <w:rsid w:val="00781700"/>
    <w:rsid w:val="00790143"/>
    <w:rsid w:val="007942B7"/>
    <w:rsid w:val="007954A6"/>
    <w:rsid w:val="007A45C5"/>
    <w:rsid w:val="007D1701"/>
    <w:rsid w:val="007D5CBF"/>
    <w:rsid w:val="007F1D56"/>
    <w:rsid w:val="007F5F9D"/>
    <w:rsid w:val="00803D20"/>
    <w:rsid w:val="00821526"/>
    <w:rsid w:val="0082470D"/>
    <w:rsid w:val="00825ACB"/>
    <w:rsid w:val="00836880"/>
    <w:rsid w:val="00882A5B"/>
    <w:rsid w:val="00891E6F"/>
    <w:rsid w:val="00894358"/>
    <w:rsid w:val="0089455A"/>
    <w:rsid w:val="00897D04"/>
    <w:rsid w:val="008C5B70"/>
    <w:rsid w:val="008E0535"/>
    <w:rsid w:val="008F546C"/>
    <w:rsid w:val="00902A71"/>
    <w:rsid w:val="009039FD"/>
    <w:rsid w:val="00903FE0"/>
    <w:rsid w:val="00912DB4"/>
    <w:rsid w:val="009654DA"/>
    <w:rsid w:val="00965C69"/>
    <w:rsid w:val="00982299"/>
    <w:rsid w:val="009B75CD"/>
    <w:rsid w:val="009C5469"/>
    <w:rsid w:val="009D35A4"/>
    <w:rsid w:val="009D3CC3"/>
    <w:rsid w:val="009D4047"/>
    <w:rsid w:val="009D78D2"/>
    <w:rsid w:val="009E049D"/>
    <w:rsid w:val="009E2C2C"/>
    <w:rsid w:val="009E2E6F"/>
    <w:rsid w:val="009E7254"/>
    <w:rsid w:val="009F4C16"/>
    <w:rsid w:val="00A0626F"/>
    <w:rsid w:val="00A10330"/>
    <w:rsid w:val="00A1361E"/>
    <w:rsid w:val="00A24E51"/>
    <w:rsid w:val="00A51AAD"/>
    <w:rsid w:val="00A82709"/>
    <w:rsid w:val="00AA0AE1"/>
    <w:rsid w:val="00AB3ACD"/>
    <w:rsid w:val="00AC2723"/>
    <w:rsid w:val="00AC4A6F"/>
    <w:rsid w:val="00AD6065"/>
    <w:rsid w:val="00AE6A4F"/>
    <w:rsid w:val="00AF5151"/>
    <w:rsid w:val="00B1184C"/>
    <w:rsid w:val="00B220EC"/>
    <w:rsid w:val="00B47578"/>
    <w:rsid w:val="00B5314A"/>
    <w:rsid w:val="00B56A3A"/>
    <w:rsid w:val="00B77C12"/>
    <w:rsid w:val="00B85EA1"/>
    <w:rsid w:val="00BA03C4"/>
    <w:rsid w:val="00BA14E6"/>
    <w:rsid w:val="00BA3611"/>
    <w:rsid w:val="00BC61D1"/>
    <w:rsid w:val="00BD18E4"/>
    <w:rsid w:val="00BD1E44"/>
    <w:rsid w:val="00BD2172"/>
    <w:rsid w:val="00BD2842"/>
    <w:rsid w:val="00BD5C21"/>
    <w:rsid w:val="00BD6F7F"/>
    <w:rsid w:val="00BE3920"/>
    <w:rsid w:val="00C02953"/>
    <w:rsid w:val="00C1290B"/>
    <w:rsid w:val="00C213EC"/>
    <w:rsid w:val="00C24010"/>
    <w:rsid w:val="00C259F4"/>
    <w:rsid w:val="00C27705"/>
    <w:rsid w:val="00C3228C"/>
    <w:rsid w:val="00C4050E"/>
    <w:rsid w:val="00C4430D"/>
    <w:rsid w:val="00C451D3"/>
    <w:rsid w:val="00C54D21"/>
    <w:rsid w:val="00C552FA"/>
    <w:rsid w:val="00C61E7F"/>
    <w:rsid w:val="00C66E73"/>
    <w:rsid w:val="00C740C2"/>
    <w:rsid w:val="00C91330"/>
    <w:rsid w:val="00CA3AB8"/>
    <w:rsid w:val="00CC48E8"/>
    <w:rsid w:val="00CD3DE8"/>
    <w:rsid w:val="00CF21EB"/>
    <w:rsid w:val="00D014E1"/>
    <w:rsid w:val="00D01CA1"/>
    <w:rsid w:val="00D1453D"/>
    <w:rsid w:val="00D41F4C"/>
    <w:rsid w:val="00D520C8"/>
    <w:rsid w:val="00D70570"/>
    <w:rsid w:val="00D96084"/>
    <w:rsid w:val="00DA6660"/>
    <w:rsid w:val="00DC5B52"/>
    <w:rsid w:val="00DD515F"/>
    <w:rsid w:val="00DD799D"/>
    <w:rsid w:val="00DF25D7"/>
    <w:rsid w:val="00DF555F"/>
    <w:rsid w:val="00E00545"/>
    <w:rsid w:val="00E023B5"/>
    <w:rsid w:val="00E33169"/>
    <w:rsid w:val="00E51AC4"/>
    <w:rsid w:val="00E6528C"/>
    <w:rsid w:val="00E73F4D"/>
    <w:rsid w:val="00EA5556"/>
    <w:rsid w:val="00EC5A12"/>
    <w:rsid w:val="00EC6A3E"/>
    <w:rsid w:val="00ED30F1"/>
    <w:rsid w:val="00ED57F6"/>
    <w:rsid w:val="00ED6104"/>
    <w:rsid w:val="00ED7D79"/>
    <w:rsid w:val="00EE5F85"/>
    <w:rsid w:val="00EF5B46"/>
    <w:rsid w:val="00EF6910"/>
    <w:rsid w:val="00F04B4F"/>
    <w:rsid w:val="00F05E2C"/>
    <w:rsid w:val="00F132F9"/>
    <w:rsid w:val="00F17BBA"/>
    <w:rsid w:val="00F24BAF"/>
    <w:rsid w:val="00F25044"/>
    <w:rsid w:val="00F31BC3"/>
    <w:rsid w:val="00F36022"/>
    <w:rsid w:val="00F7274D"/>
    <w:rsid w:val="00F807C4"/>
    <w:rsid w:val="00F95333"/>
    <w:rsid w:val="00FA0C58"/>
    <w:rsid w:val="00FA11BE"/>
    <w:rsid w:val="00FA1911"/>
    <w:rsid w:val="00FA5997"/>
    <w:rsid w:val="00FA5AFD"/>
    <w:rsid w:val="00FB0127"/>
    <w:rsid w:val="00FC3EDB"/>
    <w:rsid w:val="00FC4E74"/>
    <w:rsid w:val="00FD4E10"/>
    <w:rsid w:val="00FF1D02"/>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583D19"/>
    <w:rsid w:val="00643E20"/>
    <w:rsid w:val="00716996"/>
    <w:rsid w:val="00787EBD"/>
    <w:rsid w:val="008B4328"/>
    <w:rsid w:val="008C50D4"/>
    <w:rsid w:val="008E118A"/>
    <w:rsid w:val="00AB484A"/>
    <w:rsid w:val="00C32372"/>
    <w:rsid w:val="00CF6E1F"/>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4E6193-1C6F-4093-BE8F-D387737B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TotalTime>
  <Pages>4</Pages>
  <Words>1105</Words>
  <Characters>6081</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3</cp:revision>
  <cp:lastPrinted>2008-09-26T23:14:00Z</cp:lastPrinted>
  <dcterms:created xsi:type="dcterms:W3CDTF">2020-06-26T08:07:00Z</dcterms:created>
  <dcterms:modified xsi:type="dcterms:W3CDTF">2020-06-26T08:43:00Z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