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-215900</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6D4C90" w:rsidRDefault="006D4C9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6D4C90" w:rsidRPr="007F1D56" w:rsidRDefault="006D4C90" w:rsidP="003F6EDC">
                            <w:pPr>
                              <w:pStyle w:val="Ttulodelboletn"/>
                              <w:jc w:val="center"/>
                              <w:rPr>
                                <w:rFonts w:ascii="Century Gothic" w:hAnsi="Century Gothic"/>
                                <w:sz w:val="40"/>
                                <w:szCs w:val="40"/>
                              </w:rPr>
                            </w:pPr>
                            <w:proofErr w:type="gramStart"/>
                            <w:r>
                              <w:rPr>
                                <w:rFonts w:ascii="Century Gothic" w:hAnsi="Century Gothic"/>
                                <w:sz w:val="40"/>
                                <w:szCs w:val="40"/>
                              </w:rPr>
                              <w:t>la</w:t>
                            </w:r>
                            <w:proofErr w:type="gramEnd"/>
                            <w:r>
                              <w:rPr>
                                <w:rFonts w:ascii="Century Gothic" w:hAnsi="Century Gothic"/>
                                <w:sz w:val="40"/>
                                <w:szCs w:val="40"/>
                              </w:rPr>
                              <w:t xml:space="preserve"> </w:t>
                            </w:r>
                            <w:r w:rsidR="009300AA">
                              <w:rPr>
                                <w:rFonts w:ascii="Century Gothic" w:hAnsi="Century Gothic"/>
                                <w:sz w:val="40"/>
                                <w:szCs w:val="40"/>
                              </w:rPr>
                              <w:t>UNED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7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6D4C90" w:rsidRDefault="006D4C9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6D4C90" w:rsidRPr="007F1D56" w:rsidRDefault="006D4C90" w:rsidP="003F6EDC">
                      <w:pPr>
                        <w:pStyle w:val="Ttulodelboletn"/>
                        <w:jc w:val="center"/>
                        <w:rPr>
                          <w:rFonts w:ascii="Century Gothic" w:hAnsi="Century Gothic"/>
                          <w:sz w:val="40"/>
                          <w:szCs w:val="40"/>
                        </w:rPr>
                      </w:pPr>
                      <w:proofErr w:type="gramStart"/>
                      <w:r>
                        <w:rPr>
                          <w:rFonts w:ascii="Century Gothic" w:hAnsi="Century Gothic"/>
                          <w:sz w:val="40"/>
                          <w:szCs w:val="40"/>
                        </w:rPr>
                        <w:t>la</w:t>
                      </w:r>
                      <w:proofErr w:type="gramEnd"/>
                      <w:r>
                        <w:rPr>
                          <w:rFonts w:ascii="Century Gothic" w:hAnsi="Century Gothic"/>
                          <w:sz w:val="40"/>
                          <w:szCs w:val="40"/>
                        </w:rPr>
                        <w:t xml:space="preserve"> </w:t>
                      </w:r>
                      <w:r w:rsidR="009300AA">
                        <w:rPr>
                          <w:rFonts w:ascii="Century Gothic" w:hAnsi="Century Gothic"/>
                          <w:sz w:val="40"/>
                          <w:szCs w:val="40"/>
                        </w:rPr>
                        <w:t>UNED</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6D4C90" w:rsidRDefault="006D4C9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9C0F13"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243294" w:rsidRPr="007942B7" w:rsidTr="00766368">
        <w:tc>
          <w:tcPr>
            <w:tcW w:w="2093" w:type="dxa"/>
            <w:vMerge w:val="restart"/>
            <w:vAlign w:val="center"/>
          </w:tcPr>
          <w:p w:rsidR="00243294" w:rsidRPr="007942B7" w:rsidRDefault="00243294" w:rsidP="006D4C90">
            <w:pPr>
              <w:rPr>
                <w:sz w:val="20"/>
                <w:szCs w:val="20"/>
              </w:rPr>
            </w:pPr>
            <w:r w:rsidRPr="007942B7">
              <w:rPr>
                <w:sz w:val="20"/>
                <w:szCs w:val="20"/>
              </w:rPr>
              <w:t>Localización y estructuración de la Información</w:t>
            </w:r>
          </w:p>
        </w:tc>
        <w:tc>
          <w:tcPr>
            <w:tcW w:w="4819" w:type="dxa"/>
          </w:tcPr>
          <w:p w:rsidR="00243294" w:rsidRPr="007942B7" w:rsidRDefault="000B2275" w:rsidP="00AC4A6F">
            <w:pPr>
              <w:rPr>
                <w:sz w:val="20"/>
                <w:szCs w:val="20"/>
              </w:rPr>
            </w:pPr>
            <w:r>
              <w:rPr>
                <w:sz w:val="20"/>
                <w:szCs w:val="20"/>
              </w:rPr>
              <w:t>Ubicación Enlace a Portal de Transparencia</w:t>
            </w:r>
          </w:p>
        </w:tc>
        <w:tc>
          <w:tcPr>
            <w:tcW w:w="567" w:type="dxa"/>
            <w:vAlign w:val="center"/>
          </w:tcPr>
          <w:p w:rsidR="00243294" w:rsidRPr="007942B7" w:rsidRDefault="000B2275" w:rsidP="00766368">
            <w:pPr>
              <w:jc w:val="center"/>
              <w:rPr>
                <w:sz w:val="20"/>
                <w:szCs w:val="20"/>
              </w:rPr>
            </w:pPr>
            <w:r>
              <w:rPr>
                <w:sz w:val="20"/>
                <w:szCs w:val="20"/>
              </w:rPr>
              <w:t>X</w:t>
            </w:r>
          </w:p>
        </w:tc>
        <w:tc>
          <w:tcPr>
            <w:tcW w:w="3203" w:type="dxa"/>
            <w:vAlign w:val="center"/>
          </w:tcPr>
          <w:p w:rsidR="00243294" w:rsidRPr="007942B7" w:rsidRDefault="000B2275" w:rsidP="000B2275">
            <w:pPr>
              <w:rPr>
                <w:sz w:val="20"/>
                <w:szCs w:val="20"/>
              </w:rPr>
            </w:pPr>
            <w:r>
              <w:rPr>
                <w:sz w:val="20"/>
                <w:szCs w:val="20"/>
              </w:rPr>
              <w:t>Sí, se ha situado en la parte superior de la página home</w:t>
            </w:r>
          </w:p>
        </w:tc>
      </w:tr>
      <w:tr w:rsidR="00243294" w:rsidRPr="007942B7" w:rsidTr="00766368">
        <w:tc>
          <w:tcPr>
            <w:tcW w:w="2093" w:type="dxa"/>
            <w:vMerge/>
          </w:tcPr>
          <w:p w:rsidR="00243294" w:rsidRPr="007942B7" w:rsidRDefault="00243294" w:rsidP="00AC4A6F">
            <w:pPr>
              <w:rPr>
                <w:sz w:val="20"/>
                <w:szCs w:val="20"/>
              </w:rPr>
            </w:pPr>
          </w:p>
        </w:tc>
        <w:tc>
          <w:tcPr>
            <w:tcW w:w="4819" w:type="dxa"/>
          </w:tcPr>
          <w:p w:rsidR="00243294" w:rsidRPr="007942B7" w:rsidRDefault="00243294" w:rsidP="00AC4A6F">
            <w:pPr>
              <w:rPr>
                <w:sz w:val="20"/>
                <w:szCs w:val="20"/>
              </w:rPr>
            </w:pPr>
            <w:r w:rsidRPr="007942B7">
              <w:rPr>
                <w:sz w:val="20"/>
                <w:szCs w:val="20"/>
              </w:rPr>
              <w:t>Estructuración conforme a LTAIBG</w:t>
            </w:r>
          </w:p>
        </w:tc>
        <w:tc>
          <w:tcPr>
            <w:tcW w:w="567" w:type="dxa"/>
            <w:vAlign w:val="center"/>
          </w:tcPr>
          <w:p w:rsidR="00243294" w:rsidRPr="007942B7" w:rsidRDefault="000B2275" w:rsidP="00766368">
            <w:pPr>
              <w:jc w:val="center"/>
              <w:rPr>
                <w:sz w:val="20"/>
                <w:szCs w:val="20"/>
              </w:rPr>
            </w:pPr>
            <w:r>
              <w:rPr>
                <w:sz w:val="20"/>
                <w:szCs w:val="20"/>
              </w:rPr>
              <w:t>X</w:t>
            </w:r>
          </w:p>
        </w:tc>
        <w:tc>
          <w:tcPr>
            <w:tcW w:w="3203" w:type="dxa"/>
            <w:vAlign w:val="center"/>
          </w:tcPr>
          <w:p w:rsidR="00243294" w:rsidRPr="007942B7" w:rsidRDefault="000B2275" w:rsidP="000B2275">
            <w:pPr>
              <w:rPr>
                <w:sz w:val="20"/>
                <w:szCs w:val="20"/>
              </w:rPr>
            </w:pPr>
            <w:r>
              <w:rPr>
                <w:sz w:val="20"/>
                <w:szCs w:val="20"/>
              </w:rPr>
              <w:t>Sí, de manera muy similar a la LTBAIG</w:t>
            </w:r>
          </w:p>
        </w:tc>
      </w:tr>
      <w:tr w:rsidR="00766368" w:rsidRPr="007942B7" w:rsidTr="00766368">
        <w:tc>
          <w:tcPr>
            <w:tcW w:w="2093" w:type="dxa"/>
            <w:vMerge w:val="restart"/>
            <w:vAlign w:val="center"/>
          </w:tcPr>
          <w:p w:rsidR="00766368" w:rsidRPr="00C3228C" w:rsidRDefault="00766368" w:rsidP="006D4C90">
            <w:pPr>
              <w:rPr>
                <w:sz w:val="20"/>
                <w:szCs w:val="20"/>
              </w:rPr>
            </w:pPr>
            <w:r w:rsidRPr="00C3228C">
              <w:rPr>
                <w:sz w:val="20"/>
                <w:szCs w:val="20"/>
              </w:rPr>
              <w:t>Publicación de Contenidos</w:t>
            </w:r>
          </w:p>
        </w:tc>
        <w:tc>
          <w:tcPr>
            <w:tcW w:w="4819" w:type="dxa"/>
          </w:tcPr>
          <w:p w:rsidR="00766368" w:rsidRDefault="00766368" w:rsidP="00C3228C">
            <w:pPr>
              <w:rPr>
                <w:sz w:val="20"/>
                <w:szCs w:val="20"/>
              </w:rPr>
            </w:pPr>
            <w:r>
              <w:rPr>
                <w:sz w:val="20"/>
                <w:szCs w:val="20"/>
              </w:rPr>
              <w:t>Planes y Programas: medios y recursos para alcanzar los objetivos</w:t>
            </w:r>
          </w:p>
        </w:tc>
        <w:tc>
          <w:tcPr>
            <w:tcW w:w="567" w:type="dxa"/>
            <w:vAlign w:val="center"/>
          </w:tcPr>
          <w:p w:rsidR="00766368" w:rsidRDefault="00766368" w:rsidP="00766368">
            <w:pPr>
              <w:jc w:val="center"/>
              <w:rPr>
                <w:sz w:val="20"/>
                <w:szCs w:val="20"/>
              </w:rPr>
            </w:pPr>
            <w:r>
              <w:rPr>
                <w:sz w:val="20"/>
                <w:szCs w:val="20"/>
              </w:rPr>
              <w:t>X</w:t>
            </w:r>
          </w:p>
        </w:tc>
        <w:tc>
          <w:tcPr>
            <w:tcW w:w="3203" w:type="dxa"/>
            <w:vAlign w:val="center"/>
          </w:tcPr>
          <w:p w:rsidR="00766368" w:rsidRPr="007942B7" w:rsidRDefault="00766368" w:rsidP="000B2275">
            <w:pPr>
              <w:rPr>
                <w:sz w:val="20"/>
                <w:szCs w:val="20"/>
              </w:rPr>
            </w:pPr>
            <w:r>
              <w:rPr>
                <w:sz w:val="20"/>
                <w:szCs w:val="20"/>
              </w:rPr>
              <w:t>No</w:t>
            </w:r>
          </w:p>
        </w:tc>
      </w:tr>
      <w:tr w:rsidR="00766368" w:rsidRPr="007942B7" w:rsidTr="00766368">
        <w:tc>
          <w:tcPr>
            <w:tcW w:w="2093" w:type="dxa"/>
            <w:vMerge/>
          </w:tcPr>
          <w:p w:rsidR="00766368" w:rsidRPr="007942B7" w:rsidRDefault="00766368" w:rsidP="00AC4A6F">
            <w:pPr>
              <w:rPr>
                <w:sz w:val="20"/>
                <w:szCs w:val="20"/>
              </w:rPr>
            </w:pPr>
          </w:p>
        </w:tc>
        <w:tc>
          <w:tcPr>
            <w:tcW w:w="4819" w:type="dxa"/>
          </w:tcPr>
          <w:p w:rsidR="00766368" w:rsidRPr="007942B7" w:rsidRDefault="00766368" w:rsidP="007942B7">
            <w:pPr>
              <w:rPr>
                <w:sz w:val="20"/>
                <w:szCs w:val="20"/>
              </w:rPr>
            </w:pPr>
            <w:r>
              <w:rPr>
                <w:sz w:val="20"/>
                <w:szCs w:val="20"/>
              </w:rPr>
              <w:t xml:space="preserve">Planes y Programas: indicadores </w:t>
            </w:r>
          </w:p>
        </w:tc>
        <w:tc>
          <w:tcPr>
            <w:tcW w:w="567" w:type="dxa"/>
            <w:vAlign w:val="center"/>
          </w:tcPr>
          <w:p w:rsidR="00766368" w:rsidRPr="007942B7" w:rsidRDefault="00766368" w:rsidP="00766368">
            <w:pPr>
              <w:jc w:val="center"/>
              <w:rPr>
                <w:sz w:val="20"/>
                <w:szCs w:val="20"/>
              </w:rPr>
            </w:pPr>
            <w:r>
              <w:rPr>
                <w:sz w:val="20"/>
                <w:szCs w:val="20"/>
              </w:rPr>
              <w:t>X</w:t>
            </w:r>
          </w:p>
        </w:tc>
        <w:tc>
          <w:tcPr>
            <w:tcW w:w="3203" w:type="dxa"/>
            <w:vAlign w:val="center"/>
          </w:tcPr>
          <w:p w:rsidR="00766368" w:rsidRPr="007942B7" w:rsidRDefault="00766368" w:rsidP="000B2275">
            <w:pPr>
              <w:rPr>
                <w:sz w:val="20"/>
                <w:szCs w:val="20"/>
              </w:rPr>
            </w:pPr>
            <w:r>
              <w:rPr>
                <w:sz w:val="20"/>
                <w:szCs w:val="20"/>
              </w:rPr>
              <w:t>No</w:t>
            </w:r>
          </w:p>
        </w:tc>
      </w:tr>
      <w:tr w:rsidR="00766368" w:rsidRPr="007942B7" w:rsidTr="00766368">
        <w:tc>
          <w:tcPr>
            <w:tcW w:w="2093" w:type="dxa"/>
            <w:vMerge/>
          </w:tcPr>
          <w:p w:rsidR="00766368" w:rsidRPr="007942B7" w:rsidRDefault="00766368" w:rsidP="00AC4A6F">
            <w:pPr>
              <w:rPr>
                <w:sz w:val="20"/>
                <w:szCs w:val="20"/>
              </w:rPr>
            </w:pPr>
          </w:p>
        </w:tc>
        <w:tc>
          <w:tcPr>
            <w:tcW w:w="4819" w:type="dxa"/>
          </w:tcPr>
          <w:p w:rsidR="00766368" w:rsidRPr="000B2275" w:rsidRDefault="00766368" w:rsidP="00C82B2A">
            <w:pPr>
              <w:rPr>
                <w:sz w:val="20"/>
                <w:szCs w:val="20"/>
              </w:rPr>
            </w:pPr>
            <w:r w:rsidRPr="000B2275">
              <w:rPr>
                <w:sz w:val="20"/>
                <w:szCs w:val="20"/>
              </w:rPr>
              <w:t>Datos estadísticos contratos según procedimiento de licitación</w:t>
            </w:r>
          </w:p>
        </w:tc>
        <w:tc>
          <w:tcPr>
            <w:tcW w:w="567" w:type="dxa"/>
            <w:vAlign w:val="center"/>
          </w:tcPr>
          <w:p w:rsidR="00766368" w:rsidRPr="000B2275" w:rsidRDefault="00766368" w:rsidP="00766368">
            <w:pPr>
              <w:jc w:val="center"/>
              <w:rPr>
                <w:sz w:val="20"/>
                <w:szCs w:val="20"/>
              </w:rPr>
            </w:pPr>
            <w:r w:rsidRPr="000B2275">
              <w:rPr>
                <w:sz w:val="20"/>
                <w:szCs w:val="20"/>
              </w:rPr>
              <w:t>X</w:t>
            </w:r>
          </w:p>
        </w:tc>
        <w:tc>
          <w:tcPr>
            <w:tcW w:w="3203" w:type="dxa"/>
            <w:vAlign w:val="center"/>
          </w:tcPr>
          <w:p w:rsidR="00766368" w:rsidRPr="000B2275" w:rsidRDefault="00766368" w:rsidP="000B2275">
            <w:pPr>
              <w:rPr>
                <w:sz w:val="20"/>
                <w:szCs w:val="20"/>
              </w:rPr>
            </w:pPr>
            <w:r w:rsidRPr="000B2275">
              <w:rPr>
                <w:sz w:val="20"/>
                <w:szCs w:val="20"/>
              </w:rPr>
              <w:t>No</w:t>
            </w:r>
          </w:p>
        </w:tc>
      </w:tr>
      <w:tr w:rsidR="006D4C90" w:rsidRPr="007942B7" w:rsidTr="00766368">
        <w:trPr>
          <w:trHeight w:val="400"/>
        </w:trPr>
        <w:tc>
          <w:tcPr>
            <w:tcW w:w="2093" w:type="dxa"/>
            <w:vMerge w:val="restart"/>
            <w:vAlign w:val="center"/>
          </w:tcPr>
          <w:p w:rsidR="006D4C90" w:rsidRPr="007942B7" w:rsidRDefault="006D4C90" w:rsidP="006D4C90">
            <w:pPr>
              <w:rPr>
                <w:sz w:val="20"/>
                <w:szCs w:val="20"/>
              </w:rPr>
            </w:pPr>
            <w:r w:rsidRPr="007942B7">
              <w:rPr>
                <w:sz w:val="20"/>
                <w:szCs w:val="20"/>
              </w:rPr>
              <w:t xml:space="preserve">Calidad de la Información </w:t>
            </w:r>
          </w:p>
        </w:tc>
        <w:tc>
          <w:tcPr>
            <w:tcW w:w="4819" w:type="dxa"/>
          </w:tcPr>
          <w:p w:rsidR="006D4C90" w:rsidRPr="007942B7" w:rsidRDefault="006D4C90" w:rsidP="00243294">
            <w:pPr>
              <w:rPr>
                <w:sz w:val="20"/>
                <w:szCs w:val="20"/>
              </w:rPr>
            </w:pPr>
            <w:r w:rsidRPr="007942B7">
              <w:rPr>
                <w:sz w:val="20"/>
                <w:szCs w:val="20"/>
              </w:rPr>
              <w:t>Estructuración</w:t>
            </w:r>
          </w:p>
        </w:tc>
        <w:tc>
          <w:tcPr>
            <w:tcW w:w="567" w:type="dxa"/>
            <w:vAlign w:val="center"/>
          </w:tcPr>
          <w:p w:rsidR="006D4C90" w:rsidRPr="007942B7" w:rsidRDefault="006D4C90" w:rsidP="00766368">
            <w:pPr>
              <w:jc w:val="center"/>
              <w:rPr>
                <w:sz w:val="20"/>
                <w:szCs w:val="20"/>
              </w:rPr>
            </w:pPr>
          </w:p>
        </w:tc>
        <w:tc>
          <w:tcPr>
            <w:tcW w:w="3203" w:type="dxa"/>
            <w:vAlign w:val="center"/>
          </w:tcPr>
          <w:p w:rsidR="006D4C90" w:rsidRPr="007942B7" w:rsidRDefault="006D4C90" w:rsidP="000B2275">
            <w:pPr>
              <w:rPr>
                <w:sz w:val="20"/>
                <w:szCs w:val="20"/>
              </w:rPr>
            </w:pPr>
          </w:p>
        </w:tc>
      </w:tr>
      <w:tr w:rsidR="006D4C90" w:rsidRPr="007942B7" w:rsidTr="00766368">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Accesibilidad</w:t>
            </w:r>
          </w:p>
        </w:tc>
        <w:tc>
          <w:tcPr>
            <w:tcW w:w="567" w:type="dxa"/>
            <w:vAlign w:val="center"/>
          </w:tcPr>
          <w:p w:rsidR="006D4C90" w:rsidRPr="007942B7" w:rsidRDefault="006D4C90" w:rsidP="00766368">
            <w:pPr>
              <w:jc w:val="center"/>
              <w:rPr>
                <w:sz w:val="20"/>
                <w:szCs w:val="20"/>
              </w:rPr>
            </w:pPr>
          </w:p>
        </w:tc>
        <w:tc>
          <w:tcPr>
            <w:tcW w:w="3203" w:type="dxa"/>
            <w:vAlign w:val="center"/>
          </w:tcPr>
          <w:p w:rsidR="006D4C90" w:rsidRPr="007942B7" w:rsidRDefault="006D4C90" w:rsidP="000B2275">
            <w:pPr>
              <w:rPr>
                <w:sz w:val="20"/>
                <w:szCs w:val="20"/>
              </w:rPr>
            </w:pPr>
          </w:p>
        </w:tc>
      </w:tr>
      <w:tr w:rsidR="006D4C90" w:rsidRPr="007942B7" w:rsidTr="00766368">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Claridad</w:t>
            </w:r>
          </w:p>
        </w:tc>
        <w:tc>
          <w:tcPr>
            <w:tcW w:w="567" w:type="dxa"/>
            <w:vAlign w:val="center"/>
          </w:tcPr>
          <w:p w:rsidR="006D4C90" w:rsidRPr="007942B7" w:rsidRDefault="006D4C90" w:rsidP="00766368">
            <w:pPr>
              <w:jc w:val="center"/>
              <w:rPr>
                <w:sz w:val="20"/>
                <w:szCs w:val="20"/>
              </w:rPr>
            </w:pPr>
          </w:p>
        </w:tc>
        <w:tc>
          <w:tcPr>
            <w:tcW w:w="3203" w:type="dxa"/>
            <w:vAlign w:val="center"/>
          </w:tcPr>
          <w:p w:rsidR="006D4C90" w:rsidRPr="007942B7" w:rsidRDefault="006D4C90" w:rsidP="000B2275">
            <w:pPr>
              <w:rPr>
                <w:sz w:val="20"/>
                <w:szCs w:val="20"/>
              </w:rPr>
            </w:pPr>
          </w:p>
        </w:tc>
      </w:tr>
      <w:tr w:rsidR="006D4C90" w:rsidRPr="007942B7" w:rsidTr="00766368">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tcBorders>
              <w:bottom w:val="single" w:sz="4" w:space="0" w:color="auto"/>
            </w:tcBorders>
            <w:vAlign w:val="center"/>
          </w:tcPr>
          <w:p w:rsidR="006D4C90" w:rsidRPr="007942B7" w:rsidRDefault="006D4C90" w:rsidP="00766368">
            <w:pPr>
              <w:jc w:val="center"/>
              <w:rPr>
                <w:sz w:val="20"/>
                <w:szCs w:val="20"/>
              </w:rPr>
            </w:pPr>
          </w:p>
        </w:tc>
        <w:tc>
          <w:tcPr>
            <w:tcW w:w="3203" w:type="dxa"/>
            <w:vAlign w:val="center"/>
          </w:tcPr>
          <w:p w:rsidR="006D4C90" w:rsidRPr="007942B7" w:rsidRDefault="006D4C90" w:rsidP="000B2275">
            <w:pPr>
              <w:rPr>
                <w:sz w:val="20"/>
                <w:szCs w:val="20"/>
              </w:rPr>
            </w:pPr>
          </w:p>
        </w:tc>
      </w:tr>
      <w:tr w:rsidR="006D4C90" w:rsidRPr="007942B7" w:rsidTr="00766368">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tcBorders>
              <w:bottom w:val="single" w:sz="4" w:space="0" w:color="auto"/>
            </w:tcBorders>
            <w:vAlign w:val="center"/>
          </w:tcPr>
          <w:p w:rsidR="006D4C90" w:rsidRPr="007942B7" w:rsidRDefault="006D4C90" w:rsidP="00766368">
            <w:pPr>
              <w:jc w:val="center"/>
              <w:rPr>
                <w:sz w:val="20"/>
                <w:szCs w:val="20"/>
              </w:rPr>
            </w:pPr>
            <w:r>
              <w:rPr>
                <w:sz w:val="20"/>
                <w:szCs w:val="20"/>
              </w:rPr>
              <w:t>X</w:t>
            </w:r>
          </w:p>
        </w:tc>
        <w:tc>
          <w:tcPr>
            <w:tcW w:w="3203" w:type="dxa"/>
            <w:vAlign w:val="center"/>
          </w:tcPr>
          <w:p w:rsidR="006D4C90" w:rsidRPr="007942B7" w:rsidRDefault="00766368" w:rsidP="000B2275">
            <w:pPr>
              <w:rPr>
                <w:sz w:val="20"/>
                <w:szCs w:val="20"/>
              </w:rPr>
            </w:pPr>
            <w:r>
              <w:rPr>
                <w:sz w:val="20"/>
                <w:szCs w:val="20"/>
              </w:rPr>
              <w:t xml:space="preserve">No se incluyen referencias a la fecha de actualización de la información. </w:t>
            </w:r>
          </w:p>
        </w:tc>
      </w:tr>
      <w:tr w:rsidR="001C7D84" w:rsidRPr="001C7D84" w:rsidTr="000B2275">
        <w:trPr>
          <w:trHeight w:val="363"/>
        </w:trPr>
        <w:tc>
          <w:tcPr>
            <w:tcW w:w="6912" w:type="dxa"/>
            <w:gridSpan w:val="2"/>
          </w:tcPr>
          <w:p w:rsidR="001C7D84" w:rsidRPr="00766368" w:rsidRDefault="001C7D84" w:rsidP="001C7D84">
            <w:pPr>
              <w:jc w:val="right"/>
              <w:rPr>
                <w:b/>
                <w:sz w:val="20"/>
                <w:szCs w:val="20"/>
              </w:rPr>
            </w:pPr>
            <w:r w:rsidRPr="00766368">
              <w:rPr>
                <w:b/>
                <w:sz w:val="20"/>
                <w:szCs w:val="20"/>
              </w:rPr>
              <w:t>Total Recomendaciones</w:t>
            </w:r>
          </w:p>
        </w:tc>
        <w:tc>
          <w:tcPr>
            <w:tcW w:w="567" w:type="dxa"/>
            <w:tcBorders>
              <w:top w:val="single" w:sz="4" w:space="0" w:color="auto"/>
            </w:tcBorders>
          </w:tcPr>
          <w:p w:rsidR="001C7D84" w:rsidRPr="00766368" w:rsidRDefault="00766368" w:rsidP="00072B7E">
            <w:pPr>
              <w:jc w:val="center"/>
              <w:rPr>
                <w:b/>
                <w:sz w:val="20"/>
                <w:szCs w:val="20"/>
              </w:rPr>
            </w:pPr>
            <w:r w:rsidRPr="00766368">
              <w:rPr>
                <w:b/>
                <w:sz w:val="20"/>
                <w:szCs w:val="20"/>
              </w:rPr>
              <w:t>6</w:t>
            </w:r>
          </w:p>
        </w:tc>
        <w:tc>
          <w:tcPr>
            <w:tcW w:w="3203" w:type="dxa"/>
            <w:vAlign w:val="center"/>
          </w:tcPr>
          <w:p w:rsidR="001C7D84" w:rsidRPr="00766368" w:rsidRDefault="001C7D84" w:rsidP="000B2275">
            <w:pPr>
              <w:rPr>
                <w:b/>
                <w:sz w:val="20"/>
                <w:szCs w:val="20"/>
              </w:rPr>
            </w:pPr>
          </w:p>
        </w:tc>
      </w:tr>
    </w:tbl>
    <w:p w:rsidR="003A1694" w:rsidRDefault="003A1694" w:rsidP="00AC4A6F"/>
    <w:p w:rsidR="003A1694" w:rsidRDefault="001C7D84" w:rsidP="00BA14E6">
      <w:pPr>
        <w:spacing w:line="276" w:lineRule="auto"/>
        <w:jc w:val="both"/>
      </w:pPr>
      <w:r>
        <w:t xml:space="preserve">De las </w:t>
      </w:r>
      <w:r w:rsidR="0044352D">
        <w:t>seis</w:t>
      </w:r>
      <w:r>
        <w:t xml:space="preserve"> recomendaciones efectuadas se han aplicado </w:t>
      </w:r>
      <w:r w:rsidR="0044352D">
        <w:t>dos</w:t>
      </w:r>
      <w:r>
        <w:t xml:space="preserve">, lo que supone un </w:t>
      </w:r>
      <w:r w:rsidR="0044352D">
        <w:t>33,3</w:t>
      </w:r>
      <w:r>
        <w:t>% del total.</w:t>
      </w:r>
    </w:p>
    <w:p w:rsidR="001C7D84" w:rsidRDefault="001C7D84" w:rsidP="001C7D84">
      <w:pPr>
        <w:jc w:val="both"/>
      </w:pPr>
    </w:p>
    <w:p w:rsidR="001C7D84" w:rsidRDefault="001C7D84" w:rsidP="00BA14E6">
      <w:pPr>
        <w:spacing w:line="276" w:lineRule="auto"/>
        <w:jc w:val="both"/>
      </w:pPr>
      <w:r>
        <w:t xml:space="preserve">Es especialmente </w:t>
      </w:r>
      <w:r w:rsidR="0044352D">
        <w:t>reseñable la actualización de los contenidos que en la evaluación de 2019 estaban muy desfasados, concretamente las subvenciones, información presupuestaria, bienes inmuebles, retribuciones y compatibilidades del personal</w:t>
      </w:r>
      <w:r>
        <w:t>.</w:t>
      </w:r>
      <w:r w:rsidR="0044352D">
        <w:t xml:space="preserve"> Sin embargo sigue sin incluirse una referencia a la última revisión o actualización de la información publicada en el Portal de Transparencia.</w:t>
      </w:r>
    </w:p>
    <w:p w:rsidR="009C0F13" w:rsidRDefault="009C0F13">
      <w:r>
        <w:br w:type="page"/>
      </w:r>
    </w:p>
    <w:p w:rsidR="00FA5AFD" w:rsidRDefault="00FA5AFD" w:rsidP="00AC4A6F"/>
    <w:p w:rsidR="003F6EDC" w:rsidRPr="002D27E4" w:rsidRDefault="00DC7839" w:rsidP="003F6EDC">
      <w:pPr>
        <w:pStyle w:val="Cuerpodelboletn"/>
        <w:numPr>
          <w:ilvl w:val="0"/>
          <w:numId w:val="2"/>
        </w:num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37088" behindDoc="0" locked="0" layoutInCell="1" allowOverlap="1" wp14:anchorId="32C093B7" wp14:editId="20EF94F8">
                <wp:simplePos x="0" y="0"/>
                <wp:positionH relativeFrom="page">
                  <wp:posOffset>-19050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8.95pt;width:630pt;height:13.7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Ns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30944" behindDoc="0" locked="0" layoutInCell="1" allowOverlap="1" wp14:anchorId="22977F1B" wp14:editId="28F3F9BD">
                <wp:simplePos x="0" y="0"/>
                <wp:positionH relativeFrom="page">
                  <wp:posOffset>-19050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C7839" w:rsidRPr="00F31BC3" w:rsidRDefault="00DC7839" w:rsidP="00DC7839">
                            <w:r w:rsidRPr="00965C69">
                              <w:rPr>
                                <w:noProof/>
                                <w:lang w:eastAsia="es-ES"/>
                              </w:rPr>
                              <w:drawing>
                                <wp:inline distT="0" distB="0" distL="0" distR="0" wp14:anchorId="3B5E14B0" wp14:editId="234C6893">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1.5pt;margin-top:.5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V8DgIAAAk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" fillcolor="#50866c" stroked="f">
                <v:textbox inset=",7.2pt,,7.2pt">
                  <w:txbxContent>
                    <w:p w:rsidR="00DC7839" w:rsidRPr="00F31BC3" w:rsidRDefault="00DC7839" w:rsidP="00DC7839">
                      <w:r w:rsidRPr="00965C69">
                        <w:rPr>
                          <w:noProof/>
                          <w:lang w:eastAsia="es-ES"/>
                        </w:rPr>
                        <w:drawing>
                          <wp:inline distT="0" distB="0" distL="0" distR="0" wp14:anchorId="3B5E14B0" wp14:editId="234C6893">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415BCD" w:rsidRPr="006D4C90" w:rsidTr="00CC48E8">
        <w:trPr>
          <w:trHeight w:val="315"/>
        </w:trPr>
        <w:tc>
          <w:tcPr>
            <w:tcW w:w="2151" w:type="pct"/>
            <w:tcBorders>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98" w:type="pct"/>
            <w:tcBorders>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50,0</w:t>
            </w:r>
          </w:p>
        </w:tc>
        <w:tc>
          <w:tcPr>
            <w:tcW w:w="298" w:type="pct"/>
            <w:tcBorders>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25,0</w:t>
            </w:r>
          </w:p>
        </w:tc>
        <w:tc>
          <w:tcPr>
            <w:tcW w:w="354" w:type="pct"/>
            <w:tcBorders>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82,0</w:t>
            </w:r>
          </w:p>
        </w:tc>
      </w:tr>
      <w:tr w:rsidR="00415BCD" w:rsidRPr="006D4C90" w:rsidTr="00FA5AFD">
        <w:trPr>
          <w:trHeight w:val="315"/>
        </w:trPr>
        <w:tc>
          <w:tcPr>
            <w:tcW w:w="2151" w:type="pct"/>
            <w:tcBorders>
              <w:top w:val="nil"/>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93,0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70,0</w:t>
            </w:r>
          </w:p>
        </w:tc>
      </w:tr>
      <w:tr w:rsidR="00415BCD" w:rsidRPr="006D4C90" w:rsidTr="00FA5AFD">
        <w:trPr>
          <w:trHeight w:val="315"/>
        </w:trPr>
        <w:tc>
          <w:tcPr>
            <w:tcW w:w="2151" w:type="pct"/>
            <w:tcBorders>
              <w:top w:val="nil"/>
              <w:left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Planificación</w:t>
            </w:r>
          </w:p>
        </w:tc>
        <w:tc>
          <w:tcPr>
            <w:tcW w:w="465"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58,0</w:t>
            </w:r>
          </w:p>
        </w:tc>
        <w:tc>
          <w:tcPr>
            <w:tcW w:w="398"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458"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292"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292"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292"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298"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354"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65,0</w:t>
            </w:r>
          </w:p>
        </w:tc>
      </w:tr>
      <w:tr w:rsidR="00415BCD" w:rsidRPr="006D4C90" w:rsidTr="00FA5AFD">
        <w:trPr>
          <w:trHeight w:val="315"/>
        </w:trPr>
        <w:tc>
          <w:tcPr>
            <w:tcW w:w="2151" w:type="pct"/>
            <w:tcBorders>
              <w:top w:val="nil"/>
              <w:left w:val="nil"/>
              <w:right w:val="nil"/>
            </w:tcBorders>
            <w:shd w:val="clear" w:color="auto" w:fill="F5FDFA"/>
            <w:noWrap/>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Registro de Actividades de Tratamiento</w:t>
            </w:r>
          </w:p>
        </w:tc>
        <w:tc>
          <w:tcPr>
            <w:tcW w:w="465"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398"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458"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292"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292"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292"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298"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c>
          <w:tcPr>
            <w:tcW w:w="354" w:type="pct"/>
            <w:tcBorders>
              <w:top w:val="nil"/>
              <w:left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0,0</w:t>
            </w:r>
          </w:p>
        </w:tc>
      </w:tr>
      <w:tr w:rsidR="00415BCD" w:rsidRPr="006D4C90" w:rsidTr="00FA5AFD">
        <w:trPr>
          <w:trHeight w:val="315"/>
        </w:trPr>
        <w:tc>
          <w:tcPr>
            <w:tcW w:w="2151" w:type="pct"/>
            <w:tcBorders>
              <w:top w:val="nil"/>
              <w:left w:val="nil"/>
              <w:bottom w:val="nil"/>
              <w:right w:val="nil"/>
            </w:tcBorders>
            <w:shd w:val="clear" w:color="auto" w:fill="65AD82"/>
            <w:noWrap/>
            <w:hideMark/>
          </w:tcPr>
          <w:p w:rsidR="00415BCD" w:rsidRPr="006D4C90" w:rsidRDefault="00415BCD"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hideMark/>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78,0</w:t>
            </w:r>
          </w:p>
        </w:tc>
        <w:tc>
          <w:tcPr>
            <w:tcW w:w="398"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80,0</w:t>
            </w:r>
          </w:p>
        </w:tc>
        <w:tc>
          <w:tcPr>
            <w:tcW w:w="458"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80,0</w:t>
            </w:r>
          </w:p>
        </w:tc>
        <w:tc>
          <w:tcPr>
            <w:tcW w:w="292"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80,0</w:t>
            </w:r>
          </w:p>
        </w:tc>
        <w:tc>
          <w:tcPr>
            <w:tcW w:w="292"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77,0</w:t>
            </w:r>
          </w:p>
        </w:tc>
        <w:tc>
          <w:tcPr>
            <w:tcW w:w="292"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30,0</w:t>
            </w:r>
          </w:p>
        </w:tc>
        <w:tc>
          <w:tcPr>
            <w:tcW w:w="298"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25,0</w:t>
            </w:r>
          </w:p>
        </w:tc>
        <w:tc>
          <w:tcPr>
            <w:tcW w:w="354"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64,0</w:t>
            </w:r>
          </w:p>
        </w:tc>
      </w:tr>
      <w:tr w:rsidR="00FA5AFD" w:rsidRPr="006D4C90" w:rsidTr="00FA5AFD">
        <w:trPr>
          <w:trHeight w:val="315"/>
        </w:trPr>
        <w:tc>
          <w:tcPr>
            <w:tcW w:w="2151" w:type="pct"/>
            <w:tcBorders>
              <w:top w:val="nil"/>
              <w:left w:val="nil"/>
              <w:bottom w:val="nil"/>
              <w:right w:val="nil"/>
            </w:tcBorders>
            <w:shd w:val="clear" w:color="auto" w:fill="F2F2F2" w:themeFill="background1" w:themeFillShade="F2"/>
            <w:noWrap/>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INFORMACIÓN DE RELEVANCIA JURÍDICA</w:t>
            </w:r>
          </w:p>
        </w:tc>
        <w:tc>
          <w:tcPr>
            <w:tcW w:w="465" w:type="pct"/>
            <w:tcBorders>
              <w:top w:val="nil"/>
              <w:left w:val="nil"/>
              <w:bottom w:val="nil"/>
              <w:right w:val="nil"/>
            </w:tcBorders>
            <w:shd w:val="clear" w:color="auto" w:fill="F2F2F2" w:themeFill="background1" w:themeFillShade="F2"/>
            <w:noWrap/>
            <w:hideMark/>
          </w:tcPr>
          <w:p w:rsidR="00FA5AFD" w:rsidRPr="00415BCD" w:rsidRDefault="00FA5AFD" w:rsidP="00CC48E8">
            <w:pPr>
              <w:jc w:val="center"/>
              <w:rPr>
                <w:b/>
                <w:sz w:val="18"/>
                <w:szCs w:val="18"/>
              </w:rPr>
            </w:pPr>
          </w:p>
        </w:tc>
        <w:tc>
          <w:tcPr>
            <w:tcW w:w="398" w:type="pct"/>
            <w:tcBorders>
              <w:top w:val="nil"/>
              <w:left w:val="nil"/>
              <w:bottom w:val="nil"/>
              <w:right w:val="nil"/>
            </w:tcBorders>
            <w:shd w:val="clear" w:color="auto" w:fill="F2F2F2" w:themeFill="background1" w:themeFillShade="F2"/>
            <w:noWrap/>
          </w:tcPr>
          <w:p w:rsidR="00FA5AFD" w:rsidRPr="00415BCD" w:rsidRDefault="00FA5AFD" w:rsidP="00CC48E8">
            <w:pPr>
              <w:jc w:val="center"/>
              <w:rPr>
                <w:b/>
                <w:sz w:val="18"/>
                <w:szCs w:val="18"/>
              </w:rPr>
            </w:pPr>
          </w:p>
        </w:tc>
        <w:tc>
          <w:tcPr>
            <w:tcW w:w="458" w:type="pct"/>
            <w:tcBorders>
              <w:top w:val="nil"/>
              <w:left w:val="nil"/>
              <w:bottom w:val="nil"/>
              <w:right w:val="nil"/>
            </w:tcBorders>
            <w:shd w:val="clear" w:color="auto" w:fill="F2F2F2" w:themeFill="background1" w:themeFillShade="F2"/>
            <w:noWrap/>
            <w:hideMark/>
          </w:tcPr>
          <w:p w:rsidR="00FA5AFD" w:rsidRPr="00415BCD" w:rsidRDefault="00FA5AFD" w:rsidP="00CC48E8">
            <w:pPr>
              <w:jc w:val="center"/>
              <w:rPr>
                <w:b/>
                <w:sz w:val="18"/>
                <w:szCs w:val="18"/>
              </w:rPr>
            </w:pPr>
          </w:p>
        </w:tc>
        <w:tc>
          <w:tcPr>
            <w:tcW w:w="292" w:type="pct"/>
            <w:tcBorders>
              <w:top w:val="nil"/>
              <w:left w:val="nil"/>
              <w:bottom w:val="nil"/>
              <w:right w:val="nil"/>
            </w:tcBorders>
            <w:shd w:val="clear" w:color="auto" w:fill="F2F2F2" w:themeFill="background1" w:themeFillShade="F2"/>
            <w:noWrap/>
            <w:hideMark/>
          </w:tcPr>
          <w:p w:rsidR="00FA5AFD" w:rsidRPr="00415BCD" w:rsidRDefault="00FA5AFD" w:rsidP="00CC48E8">
            <w:pPr>
              <w:jc w:val="center"/>
              <w:rPr>
                <w:b/>
                <w:sz w:val="18"/>
                <w:szCs w:val="18"/>
              </w:rPr>
            </w:pPr>
          </w:p>
        </w:tc>
        <w:tc>
          <w:tcPr>
            <w:tcW w:w="292" w:type="pct"/>
            <w:tcBorders>
              <w:top w:val="nil"/>
              <w:left w:val="nil"/>
              <w:bottom w:val="nil"/>
              <w:right w:val="nil"/>
            </w:tcBorders>
            <w:shd w:val="clear" w:color="auto" w:fill="F2F2F2" w:themeFill="background1" w:themeFillShade="F2"/>
            <w:noWrap/>
            <w:hideMark/>
          </w:tcPr>
          <w:p w:rsidR="00FA5AFD" w:rsidRPr="00415BCD" w:rsidRDefault="00FA5AFD" w:rsidP="00CC48E8">
            <w:pPr>
              <w:jc w:val="center"/>
              <w:rPr>
                <w:b/>
                <w:sz w:val="18"/>
                <w:szCs w:val="18"/>
              </w:rPr>
            </w:pPr>
          </w:p>
        </w:tc>
        <w:tc>
          <w:tcPr>
            <w:tcW w:w="292" w:type="pct"/>
            <w:tcBorders>
              <w:top w:val="nil"/>
              <w:left w:val="nil"/>
              <w:bottom w:val="nil"/>
              <w:right w:val="nil"/>
            </w:tcBorders>
            <w:shd w:val="clear" w:color="auto" w:fill="F2F2F2" w:themeFill="background1" w:themeFillShade="F2"/>
            <w:noWrap/>
            <w:hideMark/>
          </w:tcPr>
          <w:p w:rsidR="00FA5AFD" w:rsidRPr="00415BCD" w:rsidRDefault="00FA5AFD" w:rsidP="00CC48E8">
            <w:pPr>
              <w:jc w:val="center"/>
              <w:rPr>
                <w:b/>
                <w:sz w:val="18"/>
                <w:szCs w:val="18"/>
              </w:rPr>
            </w:pPr>
          </w:p>
        </w:tc>
        <w:tc>
          <w:tcPr>
            <w:tcW w:w="298" w:type="pct"/>
            <w:tcBorders>
              <w:top w:val="nil"/>
              <w:left w:val="nil"/>
              <w:bottom w:val="nil"/>
              <w:right w:val="nil"/>
            </w:tcBorders>
            <w:shd w:val="clear" w:color="auto" w:fill="F2F2F2" w:themeFill="background1" w:themeFillShade="F2"/>
            <w:noWrap/>
            <w:hideMark/>
          </w:tcPr>
          <w:p w:rsidR="00FA5AFD" w:rsidRPr="00415BCD" w:rsidRDefault="00FA5AFD" w:rsidP="00CC48E8">
            <w:pPr>
              <w:jc w:val="center"/>
              <w:rPr>
                <w:b/>
                <w:sz w:val="18"/>
                <w:szCs w:val="18"/>
              </w:rPr>
            </w:pPr>
          </w:p>
        </w:tc>
        <w:tc>
          <w:tcPr>
            <w:tcW w:w="354" w:type="pct"/>
            <w:tcBorders>
              <w:top w:val="nil"/>
              <w:left w:val="nil"/>
              <w:bottom w:val="nil"/>
              <w:right w:val="nil"/>
            </w:tcBorders>
            <w:shd w:val="clear" w:color="auto" w:fill="F2F2F2" w:themeFill="background1" w:themeFillShade="F2"/>
            <w:noWrap/>
            <w:hideMark/>
          </w:tcPr>
          <w:p w:rsidR="00FA5AFD" w:rsidRPr="00415BCD" w:rsidRDefault="00FA5AFD" w:rsidP="00BA3611">
            <w:pPr>
              <w:jc w:val="right"/>
              <w:rPr>
                <w:b/>
                <w:sz w:val="18"/>
                <w:szCs w:val="18"/>
              </w:rPr>
            </w:pPr>
          </w:p>
        </w:tc>
      </w:tr>
      <w:tr w:rsidR="00415BCD" w:rsidRPr="006D4C90" w:rsidTr="00FA5AFD">
        <w:trPr>
          <w:trHeight w:val="315"/>
        </w:trPr>
        <w:tc>
          <w:tcPr>
            <w:tcW w:w="2151" w:type="pct"/>
            <w:tcBorders>
              <w:top w:val="nil"/>
              <w:left w:val="nil"/>
              <w:bottom w:val="nil"/>
              <w:right w:val="nil"/>
            </w:tcBorders>
            <w:shd w:val="clear" w:color="auto" w:fill="65AD82"/>
            <w:noWrap/>
            <w:hideMark/>
          </w:tcPr>
          <w:p w:rsidR="00415BCD" w:rsidRPr="006D4C90" w:rsidRDefault="00415BCD"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IRJ</w:t>
            </w:r>
          </w:p>
        </w:tc>
        <w:tc>
          <w:tcPr>
            <w:tcW w:w="465"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100,0</w:t>
            </w:r>
          </w:p>
        </w:tc>
        <w:tc>
          <w:tcPr>
            <w:tcW w:w="398"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100,0</w:t>
            </w:r>
          </w:p>
        </w:tc>
        <w:tc>
          <w:tcPr>
            <w:tcW w:w="458" w:type="pct"/>
            <w:tcBorders>
              <w:top w:val="nil"/>
              <w:left w:val="nil"/>
              <w:bottom w:val="nil"/>
              <w:right w:val="nil"/>
            </w:tcBorders>
            <w:shd w:val="clear" w:color="auto" w:fill="65AD82"/>
            <w:noWrap/>
            <w:hideMark/>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100,0</w:t>
            </w:r>
          </w:p>
        </w:tc>
        <w:tc>
          <w:tcPr>
            <w:tcW w:w="292" w:type="pct"/>
            <w:tcBorders>
              <w:top w:val="nil"/>
              <w:left w:val="nil"/>
              <w:bottom w:val="nil"/>
              <w:right w:val="nil"/>
            </w:tcBorders>
            <w:shd w:val="clear" w:color="auto" w:fill="65AD82"/>
            <w:noWrap/>
            <w:hideMark/>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100,0</w:t>
            </w:r>
          </w:p>
        </w:tc>
        <w:tc>
          <w:tcPr>
            <w:tcW w:w="292" w:type="pct"/>
            <w:tcBorders>
              <w:top w:val="nil"/>
              <w:left w:val="nil"/>
              <w:bottom w:val="nil"/>
              <w:right w:val="nil"/>
            </w:tcBorders>
            <w:shd w:val="clear" w:color="auto" w:fill="65AD82"/>
            <w:noWrap/>
            <w:hideMark/>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100,0</w:t>
            </w:r>
          </w:p>
        </w:tc>
        <w:tc>
          <w:tcPr>
            <w:tcW w:w="292" w:type="pct"/>
            <w:tcBorders>
              <w:top w:val="nil"/>
              <w:left w:val="nil"/>
              <w:bottom w:val="nil"/>
              <w:right w:val="nil"/>
            </w:tcBorders>
            <w:shd w:val="clear" w:color="auto" w:fill="65AD82"/>
            <w:noWrap/>
            <w:hideMark/>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100,0</w:t>
            </w:r>
          </w:p>
        </w:tc>
        <w:tc>
          <w:tcPr>
            <w:tcW w:w="298" w:type="pct"/>
            <w:tcBorders>
              <w:top w:val="nil"/>
              <w:left w:val="nil"/>
              <w:bottom w:val="nil"/>
              <w:right w:val="nil"/>
            </w:tcBorders>
            <w:shd w:val="clear" w:color="auto" w:fill="65AD82"/>
            <w:noWrap/>
            <w:hideMark/>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50,0</w:t>
            </w:r>
          </w:p>
        </w:tc>
        <w:tc>
          <w:tcPr>
            <w:tcW w:w="354" w:type="pct"/>
            <w:tcBorders>
              <w:top w:val="nil"/>
              <w:left w:val="nil"/>
              <w:bottom w:val="nil"/>
              <w:right w:val="nil"/>
            </w:tcBorders>
            <w:shd w:val="clear" w:color="auto" w:fill="65AD82"/>
            <w:noWrap/>
            <w:hideMark/>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93,0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415BCD" w:rsidRDefault="00CC48E8" w:rsidP="00BA3611">
            <w:pPr>
              <w:rPr>
                <w:b/>
                <w:sz w:val="18"/>
                <w:szCs w:val="18"/>
              </w:rPr>
            </w:pPr>
            <w:r w:rsidRPr="00415BCD">
              <w:rPr>
                <w:rFonts w:eastAsia="Times New Roman" w:cs="Arial"/>
                <w:b/>
                <w:sz w:val="18"/>
                <w:szCs w:val="18"/>
                <w:lang w:eastAsia="es-ES"/>
              </w:rPr>
              <w:t>INFORMACIÓN ECONÓMICA, PRESUPUESTARIA Y ESTADÍSTICA</w:t>
            </w:r>
          </w:p>
        </w:tc>
      </w:tr>
      <w:tr w:rsidR="00415BCD" w:rsidRPr="006D4C90" w:rsidTr="00FA5AFD">
        <w:trPr>
          <w:trHeight w:val="315"/>
        </w:trPr>
        <w:tc>
          <w:tcPr>
            <w:tcW w:w="2151" w:type="pct"/>
            <w:tcBorders>
              <w:top w:val="nil"/>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67,0</w:t>
            </w:r>
          </w:p>
        </w:tc>
      </w:tr>
      <w:tr w:rsidR="00415BCD" w:rsidRPr="006D4C90" w:rsidTr="00FA5AFD">
        <w:trPr>
          <w:trHeight w:val="315"/>
        </w:trPr>
        <w:tc>
          <w:tcPr>
            <w:tcW w:w="2151" w:type="pct"/>
            <w:tcBorders>
              <w:top w:val="nil"/>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50,0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93,0</w:t>
            </w:r>
          </w:p>
        </w:tc>
      </w:tr>
      <w:tr w:rsidR="00415BCD" w:rsidRPr="006D4C90" w:rsidTr="00FA5AFD">
        <w:trPr>
          <w:trHeight w:val="315"/>
        </w:trPr>
        <w:tc>
          <w:tcPr>
            <w:tcW w:w="2151" w:type="pct"/>
            <w:tcBorders>
              <w:top w:val="nil"/>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Encomiendas</w:t>
            </w:r>
          </w:p>
        </w:tc>
        <w:tc>
          <w:tcPr>
            <w:tcW w:w="465" w:type="pct"/>
            <w:tcBorders>
              <w:top w:val="nil"/>
              <w:left w:val="nil"/>
              <w:bottom w:val="nil"/>
              <w:right w:val="nil"/>
            </w:tcBorders>
            <w:shd w:val="clear" w:color="auto" w:fill="F5FDFA"/>
            <w:noWrap/>
            <w:hideMark/>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50,0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93,0</w:t>
            </w:r>
          </w:p>
        </w:tc>
      </w:tr>
      <w:tr w:rsidR="00415BCD" w:rsidRPr="006D4C90" w:rsidTr="00FA5AFD">
        <w:trPr>
          <w:trHeight w:val="315"/>
        </w:trPr>
        <w:tc>
          <w:tcPr>
            <w:tcW w:w="2151" w:type="pct"/>
            <w:tcBorders>
              <w:top w:val="nil"/>
              <w:left w:val="nil"/>
              <w:bottom w:val="nil"/>
              <w:right w:val="nil"/>
            </w:tcBorders>
            <w:shd w:val="clear" w:color="auto" w:fill="F5FDFA"/>
            <w:noWrap/>
          </w:tcPr>
          <w:p w:rsidR="00415BCD" w:rsidRPr="006D4C90" w:rsidRDefault="00415BCD" w:rsidP="00CC48E8">
            <w:pPr>
              <w:rPr>
                <w:rFonts w:eastAsia="Times New Roman" w:cs="Arial"/>
                <w:sz w:val="18"/>
                <w:szCs w:val="18"/>
                <w:lang w:eastAsia="es-ES"/>
              </w:rPr>
            </w:pPr>
            <w:r w:rsidRPr="0044352D">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r>
      <w:tr w:rsidR="00415BCD" w:rsidRPr="006D4C90" w:rsidTr="00FA5AFD">
        <w:trPr>
          <w:trHeight w:val="315"/>
        </w:trPr>
        <w:tc>
          <w:tcPr>
            <w:tcW w:w="2151" w:type="pct"/>
            <w:tcBorders>
              <w:top w:val="nil"/>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hideMark/>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r>
      <w:tr w:rsidR="00415BCD" w:rsidRPr="006D4C90" w:rsidTr="00FA5AFD">
        <w:trPr>
          <w:trHeight w:val="315"/>
        </w:trPr>
        <w:tc>
          <w:tcPr>
            <w:tcW w:w="2151" w:type="pct"/>
            <w:tcBorders>
              <w:top w:val="nil"/>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Cuentas anuales e Informes de Auditoría</w:t>
            </w:r>
          </w:p>
        </w:tc>
        <w:tc>
          <w:tcPr>
            <w:tcW w:w="465" w:type="pct"/>
            <w:tcBorders>
              <w:top w:val="nil"/>
              <w:left w:val="nil"/>
              <w:bottom w:val="nil"/>
              <w:right w:val="nil"/>
            </w:tcBorders>
            <w:shd w:val="clear" w:color="auto" w:fill="F5FDFA"/>
            <w:noWrap/>
            <w:hideMark/>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r>
      <w:tr w:rsidR="00415BCD" w:rsidRPr="006D4C90" w:rsidTr="00FA5AFD">
        <w:trPr>
          <w:trHeight w:val="315"/>
        </w:trPr>
        <w:tc>
          <w:tcPr>
            <w:tcW w:w="2151" w:type="pct"/>
            <w:tcBorders>
              <w:top w:val="nil"/>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Retribuciones e Indemnizaciones Altos Cargos</w:t>
            </w:r>
          </w:p>
        </w:tc>
        <w:tc>
          <w:tcPr>
            <w:tcW w:w="465" w:type="pct"/>
            <w:tcBorders>
              <w:top w:val="nil"/>
              <w:left w:val="nil"/>
              <w:bottom w:val="nil"/>
              <w:right w:val="nil"/>
            </w:tcBorders>
            <w:shd w:val="clear" w:color="auto" w:fill="F5FDFA"/>
            <w:noWrap/>
            <w:hideMark/>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50,0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93,0</w:t>
            </w:r>
          </w:p>
        </w:tc>
      </w:tr>
      <w:tr w:rsidR="00415BCD" w:rsidRPr="006D4C90" w:rsidTr="00FA5AFD">
        <w:trPr>
          <w:trHeight w:val="315"/>
        </w:trPr>
        <w:tc>
          <w:tcPr>
            <w:tcW w:w="2151" w:type="pct"/>
            <w:tcBorders>
              <w:top w:val="nil"/>
              <w:left w:val="nil"/>
              <w:bottom w:val="nil"/>
              <w:right w:val="nil"/>
            </w:tcBorders>
            <w:shd w:val="clear" w:color="auto" w:fill="F5FDFA"/>
            <w:noWrap/>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Compatibilidades empleados y autorizaciones actividad privada Altos Cargos</w:t>
            </w:r>
          </w:p>
        </w:tc>
        <w:tc>
          <w:tcPr>
            <w:tcW w:w="465"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50,0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93,0</w:t>
            </w:r>
          </w:p>
        </w:tc>
      </w:tr>
      <w:tr w:rsidR="00415BCD" w:rsidRPr="006D4C90" w:rsidTr="00BA3611">
        <w:trPr>
          <w:trHeight w:val="265"/>
        </w:trPr>
        <w:tc>
          <w:tcPr>
            <w:tcW w:w="2151" w:type="pct"/>
            <w:tcBorders>
              <w:top w:val="nil"/>
              <w:left w:val="nil"/>
              <w:bottom w:val="nil"/>
              <w:right w:val="nil"/>
            </w:tcBorders>
            <w:shd w:val="clear" w:color="auto" w:fill="F5FDFA"/>
            <w:noWrap/>
            <w:hideMark/>
          </w:tcPr>
          <w:p w:rsidR="00415BCD" w:rsidRPr="006D4C90" w:rsidRDefault="00415BCD" w:rsidP="00CC48E8">
            <w:pPr>
              <w:rPr>
                <w:rFonts w:eastAsia="Times New Roman" w:cs="Arial"/>
                <w:sz w:val="18"/>
                <w:szCs w:val="18"/>
                <w:lang w:eastAsia="es-ES"/>
              </w:rPr>
            </w:pPr>
            <w:r w:rsidRPr="006D4C90">
              <w:rPr>
                <w:rFonts w:eastAsia="Times New Roman" w:cs="Arial"/>
                <w:sz w:val="18"/>
                <w:szCs w:val="18"/>
                <w:lang w:eastAsia="es-ES"/>
              </w:rPr>
              <w:t>Información Estadística</w:t>
            </w:r>
          </w:p>
        </w:tc>
        <w:tc>
          <w:tcPr>
            <w:tcW w:w="465" w:type="pct"/>
            <w:tcBorders>
              <w:top w:val="nil"/>
              <w:left w:val="nil"/>
              <w:bottom w:val="nil"/>
              <w:right w:val="nil"/>
            </w:tcBorders>
            <w:shd w:val="clear" w:color="auto" w:fill="F5FDFA"/>
            <w:noWrap/>
            <w:hideMark/>
          </w:tcPr>
          <w:p w:rsidR="00415BCD" w:rsidRPr="00415BCD" w:rsidRDefault="00415BCD">
            <w:pPr>
              <w:jc w:val="right"/>
              <w:rPr>
                <w:rFonts w:cs="Arial"/>
                <w:sz w:val="18"/>
                <w:szCs w:val="18"/>
              </w:rPr>
            </w:pPr>
            <w:r w:rsidRPr="00415BCD">
              <w:rPr>
                <w:rFonts w:cs="Arial"/>
                <w:sz w:val="18"/>
                <w:szCs w:val="18"/>
              </w:rPr>
              <w:t>100,0</w:t>
            </w:r>
          </w:p>
        </w:tc>
        <w:tc>
          <w:tcPr>
            <w:tcW w:w="3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45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2"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298"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c>
          <w:tcPr>
            <w:tcW w:w="354" w:type="pct"/>
            <w:tcBorders>
              <w:top w:val="nil"/>
              <w:left w:val="nil"/>
              <w:bottom w:val="nil"/>
              <w:right w:val="nil"/>
            </w:tcBorders>
            <w:shd w:val="clear" w:color="auto" w:fill="F5FDFA"/>
            <w:noWrap/>
          </w:tcPr>
          <w:p w:rsidR="00415BCD" w:rsidRPr="00415BCD" w:rsidRDefault="00415BCD">
            <w:pPr>
              <w:jc w:val="right"/>
              <w:rPr>
                <w:rFonts w:cs="Arial"/>
                <w:sz w:val="18"/>
                <w:szCs w:val="18"/>
              </w:rPr>
            </w:pPr>
            <w:r w:rsidRPr="00415BCD">
              <w:rPr>
                <w:rFonts w:cs="Arial"/>
                <w:sz w:val="18"/>
                <w:szCs w:val="18"/>
              </w:rPr>
              <w:t>100,0</w:t>
            </w:r>
          </w:p>
        </w:tc>
      </w:tr>
      <w:tr w:rsidR="00415BCD" w:rsidRPr="006D4C90" w:rsidTr="00FA5AFD">
        <w:trPr>
          <w:trHeight w:val="315"/>
        </w:trPr>
        <w:tc>
          <w:tcPr>
            <w:tcW w:w="2151" w:type="pct"/>
            <w:tcBorders>
              <w:top w:val="nil"/>
              <w:left w:val="nil"/>
              <w:bottom w:val="nil"/>
              <w:right w:val="nil"/>
            </w:tcBorders>
            <w:shd w:val="clear" w:color="auto" w:fill="65AD82"/>
            <w:noWrap/>
            <w:hideMark/>
          </w:tcPr>
          <w:p w:rsidR="00415BCD" w:rsidRPr="006D4C90" w:rsidRDefault="00415BCD"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hideMark/>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93,0</w:t>
            </w:r>
          </w:p>
        </w:tc>
        <w:tc>
          <w:tcPr>
            <w:tcW w:w="398"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93,0</w:t>
            </w:r>
          </w:p>
        </w:tc>
        <w:tc>
          <w:tcPr>
            <w:tcW w:w="458"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93,0</w:t>
            </w:r>
          </w:p>
        </w:tc>
        <w:tc>
          <w:tcPr>
            <w:tcW w:w="292"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93,0</w:t>
            </w:r>
          </w:p>
        </w:tc>
        <w:tc>
          <w:tcPr>
            <w:tcW w:w="292"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93,0</w:t>
            </w:r>
          </w:p>
        </w:tc>
        <w:tc>
          <w:tcPr>
            <w:tcW w:w="292"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93,0</w:t>
            </w:r>
          </w:p>
        </w:tc>
        <w:tc>
          <w:tcPr>
            <w:tcW w:w="298"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80,0</w:t>
            </w:r>
          </w:p>
        </w:tc>
        <w:tc>
          <w:tcPr>
            <w:tcW w:w="354" w:type="pct"/>
            <w:tcBorders>
              <w:top w:val="nil"/>
              <w:left w:val="nil"/>
              <w:bottom w:val="nil"/>
              <w:right w:val="nil"/>
            </w:tcBorders>
            <w:shd w:val="clear" w:color="auto" w:fill="65AD82"/>
            <w:noWrap/>
          </w:tcPr>
          <w:p w:rsidR="00415BCD" w:rsidRPr="00415BCD" w:rsidRDefault="00415BCD">
            <w:pPr>
              <w:jc w:val="right"/>
              <w:rPr>
                <w:rFonts w:cs="Arial"/>
                <w:b/>
                <w:color w:val="FFFFFF" w:themeColor="background1"/>
                <w:sz w:val="18"/>
                <w:szCs w:val="18"/>
              </w:rPr>
            </w:pPr>
            <w:r w:rsidRPr="00415BCD">
              <w:rPr>
                <w:rFonts w:cs="Arial"/>
                <w:b/>
                <w:color w:val="FFFFFF" w:themeColor="background1"/>
                <w:sz w:val="18"/>
                <w:szCs w:val="18"/>
              </w:rPr>
              <w:t>91,0</w:t>
            </w:r>
          </w:p>
        </w:tc>
      </w:tr>
      <w:tr w:rsidR="00FA5AFD" w:rsidRPr="006D4C90" w:rsidTr="00FA5AFD">
        <w:trPr>
          <w:trHeight w:val="315"/>
        </w:trPr>
        <w:tc>
          <w:tcPr>
            <w:tcW w:w="2151" w:type="pct"/>
            <w:tcBorders>
              <w:top w:val="nil"/>
              <w:left w:val="nil"/>
              <w:bottom w:val="nil"/>
              <w:right w:val="nil"/>
            </w:tcBorders>
            <w:shd w:val="clear" w:color="auto" w:fill="F2F2F2" w:themeFill="background1" w:themeFillShade="F2"/>
            <w:noWrap/>
          </w:tcPr>
          <w:p w:rsidR="00FA5AFD" w:rsidRPr="006D4C90" w:rsidRDefault="00FA5AFD" w:rsidP="00FA5AFD">
            <w:pPr>
              <w:rPr>
                <w:rFonts w:eastAsia="Times New Roman" w:cs="Arial"/>
                <w:sz w:val="18"/>
                <w:szCs w:val="18"/>
                <w:lang w:eastAsia="es-ES"/>
              </w:rPr>
            </w:pPr>
            <w:r w:rsidRPr="006D4C90">
              <w:rPr>
                <w:rFonts w:eastAsia="Times New Roman" w:cs="Arial"/>
                <w:sz w:val="18"/>
                <w:szCs w:val="18"/>
                <w:lang w:eastAsia="es-ES"/>
              </w:rPr>
              <w:t>INFORMACIÓN PATRIMONIAL</w:t>
            </w:r>
          </w:p>
        </w:tc>
        <w:tc>
          <w:tcPr>
            <w:tcW w:w="465" w:type="pct"/>
            <w:tcBorders>
              <w:top w:val="nil"/>
              <w:left w:val="nil"/>
              <w:bottom w:val="nil"/>
              <w:right w:val="nil"/>
            </w:tcBorders>
            <w:shd w:val="clear" w:color="auto" w:fill="F2F2F2" w:themeFill="background1" w:themeFillShade="F2"/>
            <w:noWrap/>
          </w:tcPr>
          <w:p w:rsidR="00FA5AFD" w:rsidRPr="00415BCD" w:rsidRDefault="00FA5AFD" w:rsidP="00DF555F">
            <w:pPr>
              <w:jc w:val="right"/>
              <w:rPr>
                <w:b/>
                <w:sz w:val="18"/>
                <w:szCs w:val="18"/>
              </w:rPr>
            </w:pPr>
          </w:p>
        </w:tc>
        <w:tc>
          <w:tcPr>
            <w:tcW w:w="398" w:type="pct"/>
            <w:tcBorders>
              <w:top w:val="nil"/>
              <w:left w:val="nil"/>
              <w:bottom w:val="nil"/>
              <w:right w:val="nil"/>
            </w:tcBorders>
            <w:shd w:val="clear" w:color="auto" w:fill="F2F2F2" w:themeFill="background1" w:themeFillShade="F2"/>
            <w:noWrap/>
          </w:tcPr>
          <w:p w:rsidR="00FA5AFD" w:rsidRPr="00415BCD" w:rsidRDefault="00FA5AFD" w:rsidP="00DF555F">
            <w:pPr>
              <w:jc w:val="right"/>
              <w:rPr>
                <w:b/>
                <w:sz w:val="18"/>
                <w:szCs w:val="18"/>
              </w:rPr>
            </w:pPr>
          </w:p>
        </w:tc>
        <w:tc>
          <w:tcPr>
            <w:tcW w:w="458" w:type="pct"/>
            <w:tcBorders>
              <w:top w:val="nil"/>
              <w:left w:val="nil"/>
              <w:bottom w:val="nil"/>
              <w:right w:val="nil"/>
            </w:tcBorders>
            <w:shd w:val="clear" w:color="auto" w:fill="F2F2F2" w:themeFill="background1" w:themeFillShade="F2"/>
            <w:noWrap/>
          </w:tcPr>
          <w:p w:rsidR="00FA5AFD" w:rsidRPr="00415BCD" w:rsidRDefault="00FA5AFD" w:rsidP="00DF555F">
            <w:pPr>
              <w:jc w:val="right"/>
              <w:rPr>
                <w:b/>
                <w:sz w:val="18"/>
                <w:szCs w:val="18"/>
              </w:rPr>
            </w:pPr>
          </w:p>
        </w:tc>
        <w:tc>
          <w:tcPr>
            <w:tcW w:w="292" w:type="pct"/>
            <w:tcBorders>
              <w:top w:val="nil"/>
              <w:left w:val="nil"/>
              <w:bottom w:val="nil"/>
              <w:right w:val="nil"/>
            </w:tcBorders>
            <w:shd w:val="clear" w:color="auto" w:fill="F2F2F2" w:themeFill="background1" w:themeFillShade="F2"/>
            <w:noWrap/>
          </w:tcPr>
          <w:p w:rsidR="00FA5AFD" w:rsidRPr="00415BCD" w:rsidRDefault="00FA5AFD" w:rsidP="00DF555F">
            <w:pPr>
              <w:jc w:val="right"/>
              <w:rPr>
                <w:b/>
                <w:sz w:val="18"/>
                <w:szCs w:val="18"/>
              </w:rPr>
            </w:pPr>
          </w:p>
        </w:tc>
        <w:tc>
          <w:tcPr>
            <w:tcW w:w="292" w:type="pct"/>
            <w:tcBorders>
              <w:top w:val="nil"/>
              <w:left w:val="nil"/>
              <w:bottom w:val="nil"/>
              <w:right w:val="nil"/>
            </w:tcBorders>
            <w:shd w:val="clear" w:color="auto" w:fill="F2F2F2" w:themeFill="background1" w:themeFillShade="F2"/>
            <w:noWrap/>
          </w:tcPr>
          <w:p w:rsidR="00FA5AFD" w:rsidRPr="00415BCD" w:rsidRDefault="00FA5AFD" w:rsidP="00DF555F">
            <w:pPr>
              <w:jc w:val="right"/>
              <w:rPr>
                <w:b/>
                <w:sz w:val="18"/>
                <w:szCs w:val="18"/>
              </w:rPr>
            </w:pPr>
          </w:p>
        </w:tc>
        <w:tc>
          <w:tcPr>
            <w:tcW w:w="292" w:type="pct"/>
            <w:tcBorders>
              <w:top w:val="nil"/>
              <w:left w:val="nil"/>
              <w:bottom w:val="nil"/>
              <w:right w:val="nil"/>
            </w:tcBorders>
            <w:shd w:val="clear" w:color="auto" w:fill="F2F2F2" w:themeFill="background1" w:themeFillShade="F2"/>
            <w:noWrap/>
          </w:tcPr>
          <w:p w:rsidR="00FA5AFD" w:rsidRPr="00415BCD" w:rsidRDefault="00FA5AFD" w:rsidP="00DF555F">
            <w:pPr>
              <w:jc w:val="right"/>
              <w:rPr>
                <w:b/>
                <w:sz w:val="18"/>
                <w:szCs w:val="18"/>
              </w:rPr>
            </w:pPr>
          </w:p>
        </w:tc>
        <w:tc>
          <w:tcPr>
            <w:tcW w:w="298" w:type="pct"/>
            <w:tcBorders>
              <w:top w:val="nil"/>
              <w:left w:val="nil"/>
              <w:bottom w:val="nil"/>
              <w:right w:val="nil"/>
            </w:tcBorders>
            <w:shd w:val="clear" w:color="auto" w:fill="F2F2F2" w:themeFill="background1" w:themeFillShade="F2"/>
            <w:noWrap/>
          </w:tcPr>
          <w:p w:rsidR="00FA5AFD" w:rsidRPr="00415BCD" w:rsidRDefault="00FA5AFD" w:rsidP="00DF555F">
            <w:pPr>
              <w:jc w:val="right"/>
              <w:rPr>
                <w:b/>
                <w:sz w:val="18"/>
                <w:szCs w:val="18"/>
              </w:rPr>
            </w:pPr>
          </w:p>
        </w:tc>
        <w:tc>
          <w:tcPr>
            <w:tcW w:w="354" w:type="pct"/>
            <w:tcBorders>
              <w:top w:val="nil"/>
              <w:left w:val="nil"/>
              <w:bottom w:val="nil"/>
              <w:right w:val="nil"/>
            </w:tcBorders>
            <w:shd w:val="clear" w:color="auto" w:fill="F2F2F2" w:themeFill="background1" w:themeFillShade="F2"/>
            <w:noWrap/>
          </w:tcPr>
          <w:p w:rsidR="00FA5AFD" w:rsidRPr="00415BCD" w:rsidRDefault="00FA5AFD" w:rsidP="00DF555F">
            <w:pPr>
              <w:jc w:val="right"/>
              <w:rPr>
                <w:b/>
                <w:sz w:val="18"/>
                <w:szCs w:val="18"/>
              </w:rPr>
            </w:pPr>
          </w:p>
        </w:tc>
      </w:tr>
      <w:tr w:rsidR="00415BCD" w:rsidRPr="006D4C90" w:rsidTr="00FA5AFD">
        <w:trPr>
          <w:trHeight w:val="315"/>
        </w:trPr>
        <w:tc>
          <w:tcPr>
            <w:tcW w:w="2151" w:type="pct"/>
            <w:tcBorders>
              <w:top w:val="nil"/>
              <w:left w:val="nil"/>
              <w:bottom w:val="nil"/>
              <w:right w:val="nil"/>
            </w:tcBorders>
            <w:shd w:val="clear" w:color="auto" w:fill="65AD82"/>
            <w:noWrap/>
            <w:hideMark/>
          </w:tcPr>
          <w:p w:rsidR="00415BCD" w:rsidRPr="006D4C90" w:rsidRDefault="00415BCD"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IP</w:t>
            </w:r>
          </w:p>
        </w:tc>
        <w:tc>
          <w:tcPr>
            <w:tcW w:w="465" w:type="pct"/>
            <w:tcBorders>
              <w:top w:val="nil"/>
              <w:left w:val="nil"/>
              <w:bottom w:val="nil"/>
              <w:right w:val="nil"/>
            </w:tcBorders>
            <w:shd w:val="clear" w:color="auto" w:fill="65AD82"/>
            <w:noWrap/>
            <w:hideMark/>
          </w:tcPr>
          <w:p w:rsidR="00415BCD" w:rsidRPr="00415BCD" w:rsidRDefault="00415BCD" w:rsidP="00415BCD">
            <w:pPr>
              <w:jc w:val="right"/>
              <w:rPr>
                <w:b/>
                <w:color w:val="FFFFFF" w:themeColor="background1"/>
                <w:sz w:val="18"/>
                <w:szCs w:val="18"/>
              </w:rPr>
            </w:pPr>
            <w:r w:rsidRPr="00415BCD">
              <w:rPr>
                <w:b/>
                <w:color w:val="FFFFFF" w:themeColor="background1"/>
                <w:sz w:val="18"/>
                <w:szCs w:val="18"/>
              </w:rPr>
              <w:t>100,0</w:t>
            </w:r>
          </w:p>
        </w:tc>
        <w:tc>
          <w:tcPr>
            <w:tcW w:w="398" w:type="pct"/>
            <w:tcBorders>
              <w:top w:val="nil"/>
              <w:left w:val="nil"/>
              <w:bottom w:val="nil"/>
              <w:right w:val="nil"/>
            </w:tcBorders>
            <w:shd w:val="clear" w:color="auto" w:fill="65AD82"/>
            <w:noWrap/>
          </w:tcPr>
          <w:p w:rsidR="00415BCD" w:rsidRPr="00415BCD" w:rsidRDefault="00415BCD" w:rsidP="00415BCD">
            <w:pPr>
              <w:jc w:val="right"/>
              <w:rPr>
                <w:b/>
                <w:color w:val="FFFFFF" w:themeColor="background1"/>
                <w:sz w:val="18"/>
                <w:szCs w:val="18"/>
              </w:rPr>
            </w:pPr>
            <w:r w:rsidRPr="00415BCD">
              <w:rPr>
                <w:b/>
                <w:color w:val="FFFFFF" w:themeColor="background1"/>
                <w:sz w:val="18"/>
                <w:szCs w:val="18"/>
              </w:rPr>
              <w:t>100,0</w:t>
            </w:r>
          </w:p>
        </w:tc>
        <w:tc>
          <w:tcPr>
            <w:tcW w:w="458" w:type="pct"/>
            <w:tcBorders>
              <w:top w:val="nil"/>
              <w:left w:val="nil"/>
              <w:bottom w:val="nil"/>
              <w:right w:val="nil"/>
            </w:tcBorders>
            <w:shd w:val="clear" w:color="auto" w:fill="65AD82"/>
            <w:noWrap/>
          </w:tcPr>
          <w:p w:rsidR="00415BCD" w:rsidRPr="00415BCD" w:rsidRDefault="00415BCD" w:rsidP="00415BCD">
            <w:pPr>
              <w:jc w:val="right"/>
              <w:rPr>
                <w:b/>
                <w:color w:val="FFFFFF" w:themeColor="background1"/>
                <w:sz w:val="18"/>
                <w:szCs w:val="18"/>
              </w:rPr>
            </w:pPr>
            <w:r w:rsidRPr="00415BCD">
              <w:rPr>
                <w:b/>
                <w:color w:val="FFFFFF" w:themeColor="background1"/>
                <w:sz w:val="18"/>
                <w:szCs w:val="18"/>
              </w:rPr>
              <w:t>100,0</w:t>
            </w:r>
          </w:p>
        </w:tc>
        <w:tc>
          <w:tcPr>
            <w:tcW w:w="292" w:type="pct"/>
            <w:tcBorders>
              <w:top w:val="nil"/>
              <w:left w:val="nil"/>
              <w:bottom w:val="nil"/>
              <w:right w:val="nil"/>
            </w:tcBorders>
            <w:shd w:val="clear" w:color="auto" w:fill="65AD82"/>
            <w:noWrap/>
          </w:tcPr>
          <w:p w:rsidR="00415BCD" w:rsidRPr="00415BCD" w:rsidRDefault="00415BCD" w:rsidP="00415BCD">
            <w:pPr>
              <w:jc w:val="right"/>
              <w:rPr>
                <w:b/>
                <w:color w:val="FFFFFF" w:themeColor="background1"/>
                <w:sz w:val="18"/>
                <w:szCs w:val="18"/>
              </w:rPr>
            </w:pPr>
            <w:r w:rsidRPr="00415BCD">
              <w:rPr>
                <w:b/>
                <w:color w:val="FFFFFF" w:themeColor="background1"/>
                <w:sz w:val="18"/>
                <w:szCs w:val="18"/>
              </w:rPr>
              <w:t>100,0</w:t>
            </w:r>
          </w:p>
        </w:tc>
        <w:tc>
          <w:tcPr>
            <w:tcW w:w="292" w:type="pct"/>
            <w:tcBorders>
              <w:top w:val="nil"/>
              <w:left w:val="nil"/>
              <w:bottom w:val="nil"/>
              <w:right w:val="nil"/>
            </w:tcBorders>
            <w:shd w:val="clear" w:color="auto" w:fill="65AD82"/>
            <w:noWrap/>
          </w:tcPr>
          <w:p w:rsidR="00415BCD" w:rsidRPr="00415BCD" w:rsidRDefault="00415BCD" w:rsidP="00415BCD">
            <w:pPr>
              <w:jc w:val="right"/>
              <w:rPr>
                <w:b/>
                <w:color w:val="FFFFFF" w:themeColor="background1"/>
                <w:sz w:val="18"/>
                <w:szCs w:val="18"/>
              </w:rPr>
            </w:pPr>
            <w:r w:rsidRPr="00415BCD">
              <w:rPr>
                <w:b/>
                <w:color w:val="FFFFFF" w:themeColor="background1"/>
                <w:sz w:val="18"/>
                <w:szCs w:val="18"/>
              </w:rPr>
              <w:t>100,0</w:t>
            </w:r>
          </w:p>
        </w:tc>
        <w:tc>
          <w:tcPr>
            <w:tcW w:w="292" w:type="pct"/>
            <w:tcBorders>
              <w:top w:val="nil"/>
              <w:left w:val="nil"/>
              <w:bottom w:val="nil"/>
              <w:right w:val="nil"/>
            </w:tcBorders>
            <w:shd w:val="clear" w:color="auto" w:fill="65AD82"/>
            <w:noWrap/>
          </w:tcPr>
          <w:p w:rsidR="00415BCD" w:rsidRPr="00415BCD" w:rsidRDefault="00415BCD" w:rsidP="00415BCD">
            <w:pPr>
              <w:jc w:val="right"/>
              <w:rPr>
                <w:b/>
                <w:color w:val="FFFFFF" w:themeColor="background1"/>
                <w:sz w:val="18"/>
                <w:szCs w:val="18"/>
              </w:rPr>
            </w:pPr>
            <w:r w:rsidRPr="00415BCD">
              <w:rPr>
                <w:b/>
                <w:color w:val="FFFFFF" w:themeColor="background1"/>
                <w:sz w:val="18"/>
                <w:szCs w:val="18"/>
              </w:rPr>
              <w:t>100,0</w:t>
            </w:r>
          </w:p>
        </w:tc>
        <w:tc>
          <w:tcPr>
            <w:tcW w:w="298" w:type="pct"/>
            <w:tcBorders>
              <w:top w:val="nil"/>
              <w:left w:val="nil"/>
              <w:bottom w:val="nil"/>
              <w:right w:val="nil"/>
            </w:tcBorders>
            <w:shd w:val="clear" w:color="auto" w:fill="65AD82"/>
            <w:noWrap/>
          </w:tcPr>
          <w:p w:rsidR="00415BCD" w:rsidRPr="00415BCD" w:rsidRDefault="00415BCD" w:rsidP="00415BCD">
            <w:pPr>
              <w:jc w:val="right"/>
              <w:rPr>
                <w:b/>
                <w:color w:val="FFFFFF" w:themeColor="background1"/>
                <w:sz w:val="18"/>
                <w:szCs w:val="18"/>
              </w:rPr>
            </w:pPr>
            <w:r w:rsidRPr="00415BCD">
              <w:rPr>
                <w:b/>
                <w:color w:val="FFFFFF" w:themeColor="background1"/>
                <w:sz w:val="18"/>
                <w:szCs w:val="18"/>
              </w:rPr>
              <w:t>50,0</w:t>
            </w:r>
          </w:p>
        </w:tc>
        <w:tc>
          <w:tcPr>
            <w:tcW w:w="354" w:type="pct"/>
            <w:tcBorders>
              <w:top w:val="nil"/>
              <w:left w:val="nil"/>
              <w:bottom w:val="nil"/>
              <w:right w:val="nil"/>
            </w:tcBorders>
            <w:shd w:val="clear" w:color="auto" w:fill="65AD82"/>
            <w:noWrap/>
          </w:tcPr>
          <w:p w:rsidR="00415BCD" w:rsidRPr="00415BCD" w:rsidRDefault="00415BCD" w:rsidP="00415BCD">
            <w:pPr>
              <w:jc w:val="right"/>
              <w:rPr>
                <w:b/>
                <w:color w:val="FFFFFF" w:themeColor="background1"/>
                <w:sz w:val="18"/>
                <w:szCs w:val="18"/>
              </w:rPr>
            </w:pPr>
            <w:r w:rsidRPr="00415BCD">
              <w:rPr>
                <w:b/>
                <w:color w:val="FFFFFF" w:themeColor="background1"/>
                <w:sz w:val="18"/>
                <w:szCs w:val="18"/>
              </w:rPr>
              <w:t>93,0</w:t>
            </w:r>
          </w:p>
        </w:tc>
      </w:tr>
      <w:tr w:rsidR="00FA5AFD" w:rsidRPr="006D4C90" w:rsidTr="00FA5AFD">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hideMark/>
          </w:tcPr>
          <w:p w:rsidR="00FA5AFD" w:rsidRPr="006D4C90" w:rsidRDefault="006D4C90" w:rsidP="00415BCD">
            <w:pPr>
              <w:jc w:val="right"/>
              <w:rPr>
                <w:rFonts w:eastAsia="Times New Roman" w:cs="Arial"/>
                <w:b/>
                <w:sz w:val="18"/>
                <w:szCs w:val="18"/>
                <w:lang w:eastAsia="es-ES"/>
              </w:rPr>
            </w:pPr>
            <w:r w:rsidRPr="006D4C90">
              <w:rPr>
                <w:rFonts w:eastAsia="Times New Roman" w:cs="Arial"/>
                <w:b/>
                <w:sz w:val="18"/>
                <w:szCs w:val="18"/>
                <w:lang w:eastAsia="es-ES"/>
              </w:rPr>
              <w:t>8</w:t>
            </w:r>
            <w:r w:rsidR="00415BCD">
              <w:rPr>
                <w:rFonts w:eastAsia="Times New Roman" w:cs="Arial"/>
                <w:b/>
                <w:sz w:val="18"/>
                <w:szCs w:val="18"/>
                <w:lang w:eastAsia="es-ES"/>
              </w:rPr>
              <w:t>1</w:t>
            </w:r>
            <w:r w:rsidRPr="006D4C90">
              <w:rPr>
                <w:rFonts w:eastAsia="Times New Roman" w:cs="Arial"/>
                <w:b/>
                <w:sz w:val="18"/>
                <w:szCs w:val="18"/>
                <w:lang w:eastAsia="es-ES"/>
              </w:rPr>
              <w:t>,</w:t>
            </w:r>
            <w:r w:rsidR="00415BCD">
              <w:rPr>
                <w:rFonts w:eastAsia="Times New Roman" w:cs="Arial"/>
                <w:b/>
                <w:sz w:val="18"/>
                <w:szCs w:val="18"/>
                <w:lang w:eastAsia="es-ES"/>
              </w:rPr>
              <w:t>0</w:t>
            </w:r>
          </w:p>
        </w:tc>
      </w:tr>
    </w:tbl>
    <w:p w:rsidR="00FA5AFD" w:rsidRDefault="00FA5AFD" w:rsidP="00F05E2C">
      <w:pPr>
        <w:pStyle w:val="Cuerpodelboletn"/>
        <w:rPr>
          <w:lang w:bidi="es-ES"/>
        </w:rPr>
      </w:pPr>
    </w:p>
    <w:p w:rsidR="003F6EDC" w:rsidRDefault="005C4778" w:rsidP="00BA14E6">
      <w:pPr>
        <w:pStyle w:val="Cuerpodelboletn"/>
        <w:spacing w:line="276" w:lineRule="auto"/>
      </w:pPr>
      <w:r>
        <w:t xml:space="preserve">Una vez efectuada la revisión de la información sujeta a obligaciones de publicidad activa el </w:t>
      </w:r>
      <w:r w:rsidR="00E73F4D">
        <w:t>Índice de C</w:t>
      </w:r>
      <w:r>
        <w:t xml:space="preserve">umplimiento </w:t>
      </w:r>
      <w:r w:rsidR="00E73F4D">
        <w:t xml:space="preserve">de la Información Obligatoria </w:t>
      </w:r>
      <w:r w:rsidR="00BA14E6">
        <w:t xml:space="preserve">(ICIO) </w:t>
      </w:r>
      <w:r w:rsidR="008509E0">
        <w:t>ha permanecido estable respecto de 2019</w:t>
      </w:r>
      <w:r w:rsidR="00E73F4D">
        <w:t xml:space="preserve">. </w:t>
      </w:r>
      <w:r w:rsidR="00BA14E6">
        <w:t>El ICIO de</w:t>
      </w:r>
      <w:r w:rsidR="00E73F4D">
        <w:t xml:space="preserve"> la </w:t>
      </w:r>
      <w:r w:rsidR="008509E0">
        <w:t>UNED</w:t>
      </w:r>
      <w:r w:rsidR="00E73F4D">
        <w:t xml:space="preserve"> </w:t>
      </w:r>
      <w:r w:rsidR="008509E0">
        <w:t>se sitúa en un 81%</w:t>
      </w:r>
      <w:r w:rsidR="00BA14E6">
        <w:t xml:space="preserve"> (equivalente a una puntuación de </w:t>
      </w:r>
      <w:r w:rsidR="008509E0">
        <w:t>8,10</w:t>
      </w:r>
      <w:r w:rsidR="00BA14E6">
        <w:t xml:space="preserve"> puntos sobre 10) lo que puede considerarse un nivel de cumplimiento </w:t>
      </w:r>
      <w:r w:rsidR="00F614CD">
        <w:t>elevado</w:t>
      </w:r>
      <w:r w:rsidR="00BA14E6">
        <w:t>.</w:t>
      </w:r>
      <w:r w:rsidR="008509E0">
        <w:t xml:space="preserve"> Este hecho se debe fundamentalmente al incumplimiento de los requisitos de publicación del Registro de Actividades de Tratamiento.</w:t>
      </w:r>
    </w:p>
    <w:p w:rsidR="00714C54" w:rsidRDefault="00714C54" w:rsidP="00F05E2C">
      <w:pPr>
        <w:pStyle w:val="Cuerpodelboletn"/>
      </w:pP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sdt>
      <w:sdtPr>
        <w:rPr>
          <w:b/>
          <w:color w:val="auto"/>
          <w:sz w:val="30"/>
          <w:szCs w:val="30"/>
        </w:rPr>
        <w:id w:val="1307893759"/>
        <w:placeholder>
          <w:docPart w:val="4041ECFB4E934057B7EF021C0F3E2D14"/>
        </w:placeholder>
      </w:sdtPr>
      <w:sdtEndPr/>
      <w:sdtContent>
        <w:p w:rsidR="004720A5" w:rsidRPr="002D27E4" w:rsidRDefault="00DC7839" w:rsidP="001763F8">
          <w:pPr>
            <w:pStyle w:val="Cuerpodelboletn"/>
            <w:numPr>
              <w:ilvl w:val="0"/>
              <w:numId w:val="2"/>
            </w:numPr>
            <w:rPr>
              <w:sz w:val="30"/>
              <w:szCs w:val="30"/>
            </w:rPr>
          </w:pPr>
          <w:r w:rsidRPr="00B1184C">
            <w:rPr>
              <w:rFonts w:ascii="Arial" w:eastAsia="Arial" w:hAnsi="Arial" w:cs="Arial"/>
              <w:noProof/>
              <w:lang w:eastAsia="es-ES"/>
            </w:rPr>
            <mc:AlternateContent>
              <mc:Choice Requires="wps">
                <w:drawing>
                  <wp:anchor distT="0" distB="0" distL="114300" distR="114300" simplePos="0" relativeHeight="251735040" behindDoc="0" locked="0" layoutInCell="1" allowOverlap="1" wp14:anchorId="5E22058E" wp14:editId="5A3BF3FF">
                    <wp:simplePos x="0" y="0"/>
                    <wp:positionH relativeFrom="page">
                      <wp:posOffset>-28575</wp:posOffset>
                    </wp:positionH>
                    <wp:positionV relativeFrom="page">
                      <wp:posOffset>983615</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25pt;margin-top:77.45pt;width:630pt;height:13.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Qb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8896" behindDoc="0" locked="0" layoutInCell="1" allowOverlap="1" wp14:anchorId="1FFBB388" wp14:editId="16232A7F">
                    <wp:simplePos x="0" y="0"/>
                    <wp:positionH relativeFrom="page">
                      <wp:posOffset>-28575</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C7839" w:rsidRPr="00F31BC3" w:rsidRDefault="00DC7839" w:rsidP="00DC7839">
                                <w:r w:rsidRPr="00965C69">
                                  <w:rPr>
                                    <w:noProof/>
                                    <w:lang w:eastAsia="es-ES"/>
                                  </w:rPr>
                                  <w:drawing>
                                    <wp:inline distT="0" distB="0" distL="0" distR="0" wp14:anchorId="7B519511" wp14:editId="03D09495">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25pt;margin-top:-1pt;width:630pt;height:78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" fillcolor="#50866c" stroked="f">
                    <v:textbox inset=",7.2pt,,7.2pt">
                      <w:txbxContent>
                        <w:p w:rsidR="00DC7839" w:rsidRPr="00F31BC3" w:rsidRDefault="00DC7839" w:rsidP="00DC7839">
                          <w:r w:rsidRPr="00965C69">
                            <w:rPr>
                              <w:noProof/>
                              <w:lang w:eastAsia="es-ES"/>
                            </w:rPr>
                            <w:drawing>
                              <wp:inline distT="0" distB="0" distL="0" distR="0" wp14:anchorId="7B519511" wp14:editId="03D09495">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D4047" w:rsidRPr="002D27E4">
            <w:rPr>
              <w:b/>
              <w:color w:val="50866C"/>
              <w:sz w:val="30"/>
              <w:szCs w:val="30"/>
            </w:rPr>
            <w:t>Buenas Prácticas</w:t>
          </w:r>
        </w:p>
      </w:sdtContent>
    </w:sdt>
    <w:p w:rsidR="009E7254" w:rsidRDefault="009E7254" w:rsidP="00965C69">
      <w:pPr>
        <w:pStyle w:val="Cuerpodelboletn"/>
      </w:pPr>
    </w:p>
    <w:p w:rsidR="00BA14E6" w:rsidRDefault="008509E0" w:rsidP="006D4C90">
      <w:pPr>
        <w:pStyle w:val="Cuerpodelboletn"/>
        <w:spacing w:line="276" w:lineRule="auto"/>
      </w:pPr>
      <w:r>
        <w:t>No cabe señalar buenas prácticas adicionales a las señaladas en el informe de evaluación de 2019</w:t>
      </w:r>
      <w:r w:rsidR="00F614CD">
        <w:t>.</w:t>
      </w:r>
      <w:r w:rsidR="00244EDA">
        <w:t xml:space="preserve"> </w:t>
      </w: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953" w:rsidRDefault="005C4778" w:rsidP="00C61E7F">
      <w:pPr>
        <w:pStyle w:val="Sinespaciado"/>
        <w:spacing w:line="276" w:lineRule="auto"/>
        <w:jc w:val="both"/>
        <w:rPr>
          <w:rFonts w:ascii="Century Gothic" w:hAnsi="Century Gothic"/>
        </w:rPr>
      </w:pPr>
      <w:r w:rsidRPr="00C02953">
        <w:rPr>
          <w:rFonts w:ascii="Century Gothic" w:hAnsi="Century Gothic"/>
        </w:rPr>
        <w:lastRenderedPageBreak/>
        <w:t xml:space="preserve">Este CTBG valora positivamente el esfuerzo realizado por la </w:t>
      </w:r>
      <w:r w:rsidR="008509E0">
        <w:rPr>
          <w:rFonts w:ascii="Century Gothic" w:hAnsi="Century Gothic"/>
        </w:rPr>
        <w:t>UNED</w:t>
      </w:r>
      <w:r w:rsidRPr="00C02953">
        <w:rPr>
          <w:rFonts w:ascii="Century Gothic" w:hAnsi="Century Gothic"/>
        </w:rPr>
        <w:t xml:space="preserve"> para aplicar las recomendaciones efectuadas en la evaluación realizada en 2019.</w:t>
      </w:r>
      <w:r w:rsidR="00F614CD">
        <w:rPr>
          <w:rFonts w:ascii="Century Gothic" w:hAnsi="Century Gothic"/>
        </w:rPr>
        <w:t xml:space="preserve"> Se ha</w:t>
      </w:r>
      <w:r w:rsidR="00C02953">
        <w:rPr>
          <w:rFonts w:ascii="Century Gothic" w:hAnsi="Century Gothic"/>
        </w:rPr>
        <w:t xml:space="preserve"> aplicado el </w:t>
      </w:r>
      <w:r w:rsidR="008509E0">
        <w:rPr>
          <w:rFonts w:ascii="Century Gothic" w:hAnsi="Century Gothic"/>
        </w:rPr>
        <w:t>33,3</w:t>
      </w:r>
      <w:r w:rsidR="00C02953">
        <w:rPr>
          <w:rFonts w:ascii="Century Gothic" w:hAnsi="Century Gothic"/>
        </w:rPr>
        <w:t xml:space="preserve">% de </w:t>
      </w:r>
      <w:r w:rsidR="00F614CD">
        <w:rPr>
          <w:rFonts w:ascii="Century Gothic" w:hAnsi="Century Gothic"/>
        </w:rPr>
        <w:t xml:space="preserve">estas </w:t>
      </w:r>
      <w:r w:rsidR="00C02953">
        <w:rPr>
          <w:rFonts w:ascii="Century Gothic" w:hAnsi="Century Gothic"/>
        </w:rPr>
        <w:t>recomendaciones.</w:t>
      </w:r>
    </w:p>
    <w:p w:rsidR="00C02953" w:rsidRDefault="00C02953" w:rsidP="00C61E7F">
      <w:pPr>
        <w:pStyle w:val="Sinespaciado"/>
        <w:spacing w:line="276" w:lineRule="auto"/>
        <w:jc w:val="both"/>
        <w:rPr>
          <w:rFonts w:ascii="Century Gothic" w:hAnsi="Century Gothic"/>
        </w:rPr>
      </w:pPr>
    </w:p>
    <w:p w:rsidR="00C02953" w:rsidRDefault="008509E0" w:rsidP="00C61E7F">
      <w:pPr>
        <w:pStyle w:val="Sinespaciado"/>
        <w:spacing w:line="276" w:lineRule="auto"/>
        <w:jc w:val="both"/>
        <w:rPr>
          <w:rFonts w:ascii="Century Gothic" w:hAnsi="Century Gothic"/>
        </w:rPr>
      </w:pPr>
      <w:r>
        <w:rPr>
          <w:rFonts w:ascii="Century Gothic" w:hAnsi="Century Gothic"/>
        </w:rPr>
        <w:t xml:space="preserve">A pesar de esto, el ICIO de la UNED que ya poseía un nivel de cumplimiento elevado ha permanecido estable respecto de 2019. </w:t>
      </w:r>
    </w:p>
    <w:p w:rsidR="008509E0" w:rsidRDefault="008509E0" w:rsidP="00C61E7F">
      <w:pPr>
        <w:pStyle w:val="Sinespaciado"/>
        <w:spacing w:line="276" w:lineRule="auto"/>
        <w:jc w:val="both"/>
        <w:rPr>
          <w:rFonts w:ascii="Century Gothic" w:hAnsi="Century Gothic"/>
        </w:rPr>
      </w:pPr>
    </w:p>
    <w:p w:rsidR="00C02953" w:rsidRDefault="00C02953" w:rsidP="00C61E7F">
      <w:pPr>
        <w:pStyle w:val="Sinespaciado"/>
        <w:spacing w:line="276" w:lineRule="auto"/>
        <w:jc w:val="both"/>
        <w:rPr>
          <w:rFonts w:ascii="Century Gothic" w:hAnsi="Century Gothic"/>
        </w:rPr>
      </w:pPr>
      <w:r>
        <w:rPr>
          <w:rFonts w:ascii="Century Gothic" w:hAnsi="Century Gothic"/>
        </w:rPr>
        <w:t xml:space="preserve">Como puede apreciarse en la tabla de valoración del ICIO, según bloques de información y atributos, los factores que </w:t>
      </w:r>
      <w:r w:rsidR="00AE6A4F">
        <w:rPr>
          <w:rFonts w:ascii="Century Gothic" w:hAnsi="Century Gothic"/>
        </w:rPr>
        <w:t>explican</w:t>
      </w:r>
      <w:r>
        <w:rPr>
          <w:rFonts w:ascii="Century Gothic" w:hAnsi="Century Gothic"/>
        </w:rPr>
        <w:t xml:space="preserve"> la puntuación obtenida son fundamentalmente</w:t>
      </w:r>
      <w:r w:rsidR="00244EDA">
        <w:rPr>
          <w:rFonts w:ascii="Century Gothic" w:hAnsi="Century Gothic"/>
        </w:rPr>
        <w:t xml:space="preserve"> </w:t>
      </w:r>
      <w:r w:rsidR="00544EA0">
        <w:rPr>
          <w:rFonts w:ascii="Century Gothic" w:hAnsi="Century Gothic"/>
        </w:rPr>
        <w:t>l</w:t>
      </w:r>
      <w:r w:rsidR="008509E0">
        <w:rPr>
          <w:rFonts w:ascii="Century Gothic" w:hAnsi="Century Gothic"/>
        </w:rPr>
        <w:t xml:space="preserve">a falta de publicación de algunas informaciones obligatorias, y </w:t>
      </w:r>
      <w:r>
        <w:rPr>
          <w:rFonts w:ascii="Century Gothic" w:hAnsi="Century Gothic"/>
        </w:rPr>
        <w:t>de referencias a la revisión y actualización de la información</w:t>
      </w:r>
      <w:r w:rsidR="008509E0">
        <w:rPr>
          <w:rFonts w:ascii="Century Gothic" w:hAnsi="Century Gothic"/>
        </w:rPr>
        <w:t>. Una cuestión adicional es que la información relativa a las compatibilidades de los empleados no ha sido localizada al realizar la revisión del cumplimiento de recomendaciones. Esta información anteriormente se localizaba en el elemento Personas del portal de transparencia.</w:t>
      </w:r>
    </w:p>
    <w:p w:rsidR="008509E0" w:rsidRDefault="008509E0" w:rsidP="00C61E7F">
      <w:pPr>
        <w:pStyle w:val="Sinespaciado"/>
        <w:spacing w:line="276" w:lineRule="auto"/>
        <w:jc w:val="both"/>
        <w:rPr>
          <w:rFonts w:ascii="Century Gothic" w:hAnsi="Century Gothic"/>
        </w:rPr>
      </w:pPr>
    </w:p>
    <w:p w:rsidR="008509E0" w:rsidRPr="008509E0" w:rsidRDefault="008509E0" w:rsidP="008509E0">
      <w:pPr>
        <w:pStyle w:val="Sinespaciado"/>
        <w:spacing w:line="276" w:lineRule="auto"/>
        <w:jc w:val="both"/>
        <w:rPr>
          <w:rFonts w:ascii="Century Gothic" w:hAnsi="Century Gothic"/>
        </w:rPr>
      </w:pPr>
      <w:r>
        <w:rPr>
          <w:rFonts w:ascii="Century Gothic" w:hAnsi="Century Gothic"/>
        </w:rPr>
        <w:t>Por lo que respecta al</w:t>
      </w:r>
      <w:r w:rsidRPr="008509E0">
        <w:rPr>
          <w:rFonts w:ascii="Century Gothic" w:hAnsi="Century Gothic"/>
        </w:rPr>
        <w:t xml:space="preserve"> Registro de Actividades de Tratamiento, la información publicada no cumple con la totalidad de los contenidos establecidos en el artículo 30.1 del Reglamento Europeo de Protección de datos, que incluye en el registro</w:t>
      </w:r>
      <w:r w:rsidR="00544EA0">
        <w:rPr>
          <w:rFonts w:ascii="Century Gothic" w:hAnsi="Century Gothic"/>
        </w:rPr>
        <w:t xml:space="preserve"> </w:t>
      </w:r>
      <w:r w:rsidR="00C11DD3">
        <w:rPr>
          <w:rFonts w:ascii="Century Gothic" w:hAnsi="Century Gothic"/>
        </w:rPr>
        <w:t>para</w:t>
      </w:r>
      <w:r w:rsidR="00544EA0">
        <w:rPr>
          <w:rFonts w:ascii="Century Gothic" w:hAnsi="Century Gothic"/>
        </w:rPr>
        <w:t xml:space="preserve"> cada actividad</w:t>
      </w:r>
      <w:r w:rsidRPr="008509E0">
        <w:rPr>
          <w:rFonts w:ascii="Century Gothic" w:hAnsi="Century Gothic"/>
        </w:rPr>
        <w:t xml:space="preserve"> la siguiente información:</w:t>
      </w:r>
    </w:p>
    <w:p w:rsidR="008509E0" w:rsidRPr="008509E0" w:rsidRDefault="008509E0" w:rsidP="008509E0">
      <w:pPr>
        <w:pStyle w:val="Sinespaciado"/>
        <w:spacing w:line="276" w:lineRule="auto"/>
        <w:jc w:val="both"/>
        <w:rPr>
          <w:rFonts w:ascii="Century Gothic" w:hAnsi="Century Gothic"/>
        </w:rPr>
      </w:pPr>
    </w:p>
    <w:p w:rsidR="008509E0" w:rsidRPr="008509E0" w:rsidRDefault="008509E0" w:rsidP="008509E0">
      <w:pPr>
        <w:pStyle w:val="Sinespaciado"/>
        <w:spacing w:line="276" w:lineRule="auto"/>
        <w:jc w:val="both"/>
        <w:rPr>
          <w:rFonts w:ascii="Century Gothic" w:hAnsi="Century Gothic"/>
        </w:rPr>
      </w:pPr>
      <w:r w:rsidRPr="008509E0">
        <w:rPr>
          <w:rFonts w:ascii="Century Gothic" w:hAnsi="Century Gothic"/>
        </w:rPr>
        <w:t>a) el nombre y los datos de contacto del responsable y, en su caso, del corresponsable, del representante del responsable, y del delegado de protección de datos;</w:t>
      </w:r>
    </w:p>
    <w:p w:rsidR="008509E0" w:rsidRPr="008509E0" w:rsidRDefault="008509E0" w:rsidP="008509E0">
      <w:pPr>
        <w:pStyle w:val="Sinespaciado"/>
        <w:spacing w:line="276" w:lineRule="auto"/>
        <w:jc w:val="both"/>
        <w:rPr>
          <w:rFonts w:ascii="Century Gothic" w:hAnsi="Century Gothic"/>
        </w:rPr>
      </w:pPr>
    </w:p>
    <w:p w:rsidR="008509E0" w:rsidRPr="008509E0" w:rsidRDefault="008509E0" w:rsidP="008509E0">
      <w:pPr>
        <w:pStyle w:val="Sinespaciado"/>
        <w:spacing w:line="276" w:lineRule="auto"/>
        <w:jc w:val="both"/>
        <w:rPr>
          <w:rFonts w:ascii="Century Gothic" w:hAnsi="Century Gothic"/>
        </w:rPr>
      </w:pPr>
      <w:r w:rsidRPr="008509E0">
        <w:rPr>
          <w:rFonts w:ascii="Century Gothic" w:hAnsi="Century Gothic"/>
        </w:rPr>
        <w:t>b) los fines del tratamiento</w:t>
      </w:r>
    </w:p>
    <w:p w:rsidR="008509E0" w:rsidRPr="008509E0" w:rsidRDefault="008509E0" w:rsidP="008509E0">
      <w:pPr>
        <w:pStyle w:val="Sinespaciado"/>
        <w:spacing w:line="276" w:lineRule="auto"/>
        <w:jc w:val="both"/>
        <w:rPr>
          <w:rFonts w:ascii="Century Gothic" w:hAnsi="Century Gothic"/>
        </w:rPr>
      </w:pPr>
    </w:p>
    <w:p w:rsidR="008509E0" w:rsidRPr="008509E0" w:rsidRDefault="008509E0" w:rsidP="008509E0">
      <w:pPr>
        <w:pStyle w:val="Sinespaciado"/>
        <w:spacing w:line="276" w:lineRule="auto"/>
        <w:jc w:val="both"/>
        <w:rPr>
          <w:rFonts w:ascii="Century Gothic" w:hAnsi="Century Gothic"/>
        </w:rPr>
      </w:pPr>
      <w:r w:rsidRPr="008509E0">
        <w:rPr>
          <w:rFonts w:ascii="Century Gothic" w:hAnsi="Century Gothic"/>
        </w:rPr>
        <w:t>c) una descripción de las categorías de interesados y de las categorías de datos personales</w:t>
      </w:r>
    </w:p>
    <w:p w:rsidR="008509E0" w:rsidRPr="008509E0" w:rsidRDefault="008509E0" w:rsidP="008509E0">
      <w:pPr>
        <w:pStyle w:val="Sinespaciado"/>
        <w:spacing w:line="276" w:lineRule="auto"/>
        <w:jc w:val="both"/>
        <w:rPr>
          <w:rFonts w:ascii="Century Gothic" w:hAnsi="Century Gothic"/>
        </w:rPr>
      </w:pPr>
    </w:p>
    <w:p w:rsidR="008509E0" w:rsidRPr="008509E0" w:rsidRDefault="008509E0" w:rsidP="008509E0">
      <w:pPr>
        <w:pStyle w:val="Sinespaciado"/>
        <w:spacing w:line="276" w:lineRule="auto"/>
        <w:jc w:val="both"/>
        <w:rPr>
          <w:rFonts w:ascii="Century Gothic" w:hAnsi="Century Gothic"/>
        </w:rPr>
      </w:pPr>
      <w:r w:rsidRPr="008509E0">
        <w:rPr>
          <w:rFonts w:ascii="Century Gothic" w:hAnsi="Century Gothic"/>
        </w:rPr>
        <w:t xml:space="preserve">d) las categorías de destinatarios a quienes se comunicaron o comunicarán los datos personales, incluidos los destinatarios en terceros países u organizaciones internacionales </w:t>
      </w:r>
    </w:p>
    <w:p w:rsidR="008509E0" w:rsidRPr="008509E0" w:rsidRDefault="008509E0" w:rsidP="008509E0">
      <w:pPr>
        <w:pStyle w:val="Sinespaciado"/>
        <w:spacing w:line="276" w:lineRule="auto"/>
        <w:jc w:val="both"/>
        <w:rPr>
          <w:rFonts w:ascii="Century Gothic" w:hAnsi="Century Gothic"/>
        </w:rPr>
      </w:pPr>
    </w:p>
    <w:p w:rsidR="008509E0" w:rsidRPr="008509E0" w:rsidRDefault="008509E0" w:rsidP="008509E0">
      <w:pPr>
        <w:pStyle w:val="Sinespaciado"/>
        <w:spacing w:line="276" w:lineRule="auto"/>
        <w:jc w:val="both"/>
        <w:rPr>
          <w:rFonts w:ascii="Century Gothic" w:hAnsi="Century Gothic"/>
        </w:rPr>
      </w:pPr>
      <w:r w:rsidRPr="008509E0">
        <w:rPr>
          <w:rFonts w:ascii="Century Gothic" w:hAnsi="Century Gothic"/>
        </w:rPr>
        <w:t xml:space="preserve">e) en su caso, las transferencias de datos personales a un tercer país o una organización internacional, incluida la identificación de dicho tercer país u organización internacional y, en el </w:t>
      </w:r>
      <w:r w:rsidRPr="008509E0">
        <w:rPr>
          <w:rFonts w:ascii="Century Gothic" w:hAnsi="Century Gothic"/>
        </w:rPr>
        <w:lastRenderedPageBreak/>
        <w:t>caso de las transferencias indicadas en el artículo 49, apartado 1, párrafo segundo, la documentación de garantías adecuadas</w:t>
      </w:r>
    </w:p>
    <w:p w:rsidR="008509E0" w:rsidRPr="008509E0" w:rsidRDefault="008509E0" w:rsidP="008509E0">
      <w:pPr>
        <w:pStyle w:val="Sinespaciado"/>
        <w:spacing w:line="276" w:lineRule="auto"/>
        <w:jc w:val="both"/>
        <w:rPr>
          <w:rFonts w:ascii="Century Gothic" w:hAnsi="Century Gothic"/>
        </w:rPr>
      </w:pPr>
    </w:p>
    <w:p w:rsidR="008509E0" w:rsidRPr="008509E0" w:rsidRDefault="00DC7839" w:rsidP="008509E0">
      <w:pPr>
        <w:pStyle w:val="Sinespaciado"/>
        <w:spacing w:line="276"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732992" behindDoc="0" locked="0" layoutInCell="1" allowOverlap="1" wp14:anchorId="3C8DC19F" wp14:editId="2549C56F">
                <wp:simplePos x="0" y="0"/>
                <wp:positionH relativeFrom="page">
                  <wp:posOffset>-19050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8.95pt;width:630pt;height:13.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" fillcolor="#c5ddd2" stroked="f">
                <v:textbox inset=",7.2pt,,7.2pt"/>
                <w10:wrap type="tight" anchorx="page" anchory="page"/>
              </v:rect>
            </w:pict>
          </mc:Fallback>
        </mc:AlternateContent>
      </w:r>
      <w:r w:rsidR="008509E0" w:rsidRPr="008509E0">
        <w:rPr>
          <w:rFonts w:ascii="Century Gothic" w:hAnsi="Century Gothic"/>
        </w:rPr>
        <w:t xml:space="preserve">f) cuando sea posible, los plazos previstos para la supresión de las diferentes categorías de datos; </w:t>
      </w:r>
    </w:p>
    <w:p w:rsidR="008509E0" w:rsidRPr="008509E0" w:rsidRDefault="00DC7839" w:rsidP="008509E0">
      <w:pPr>
        <w:pStyle w:val="Sinespaciado"/>
        <w:spacing w:line="276"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726848" behindDoc="0" locked="0" layoutInCell="1" allowOverlap="1" wp14:anchorId="63137FD6" wp14:editId="7E1C0DC1">
                <wp:simplePos x="0" y="0"/>
                <wp:positionH relativeFrom="page">
                  <wp:posOffset>-19050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C7839" w:rsidRPr="00F31BC3" w:rsidRDefault="00DC7839" w:rsidP="00DC7839">
                            <w:r w:rsidRPr="00965C69">
                              <w:rPr>
                                <w:noProof/>
                                <w:lang w:eastAsia="es-ES"/>
                              </w:rPr>
                              <w:drawing>
                                <wp:inline distT="0" distB="0" distL="0" distR="0" wp14:anchorId="4C9CC7AE" wp14:editId="35A53BDF">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" fillcolor="#50866c" stroked="f">
                <v:textbox inset=",7.2pt,,7.2pt">
                  <w:txbxContent>
                    <w:p w:rsidR="00DC7839" w:rsidRPr="00F31BC3" w:rsidRDefault="00DC7839" w:rsidP="00DC7839">
                      <w:r w:rsidRPr="00965C69">
                        <w:rPr>
                          <w:noProof/>
                          <w:lang w:eastAsia="es-ES"/>
                        </w:rPr>
                        <w:drawing>
                          <wp:inline distT="0" distB="0" distL="0" distR="0" wp14:anchorId="4C9CC7AE" wp14:editId="35A53BDF">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509E0" w:rsidRPr="008509E0">
        <w:rPr>
          <w:rFonts w:ascii="Century Gothic" w:hAnsi="Century Gothic"/>
        </w:rPr>
        <w:t xml:space="preserve">g) cuando sea posible, una descripción general de las medidas técnicas y organizativas de seguridad a que se refiere el artículo 32, apartado 1. </w:t>
      </w:r>
    </w:p>
    <w:p w:rsidR="008509E0" w:rsidRDefault="008509E0" w:rsidP="008509E0">
      <w:pPr>
        <w:pStyle w:val="Sinespaciado"/>
        <w:spacing w:line="276" w:lineRule="auto"/>
        <w:jc w:val="both"/>
        <w:rPr>
          <w:rFonts w:ascii="Century Gothic" w:hAnsi="Century Gothic"/>
        </w:rPr>
      </w:pPr>
    </w:p>
    <w:p w:rsidR="00DC7839" w:rsidRDefault="00DC7839" w:rsidP="00DC7839">
      <w:pPr>
        <w:pStyle w:val="Sinespaciado"/>
        <w:spacing w:line="276" w:lineRule="auto"/>
        <w:jc w:val="both"/>
        <w:rPr>
          <w:rFonts w:ascii="Century Gothic" w:hAnsi="Century Gothic"/>
        </w:rPr>
      </w:pPr>
      <w:r>
        <w:rPr>
          <w:rFonts w:ascii="Century Gothic" w:hAnsi="Century Gothic"/>
        </w:rPr>
        <w:t>Una cuestión adicional es la localización de esta información, que es obligatoria y está vinculada al grupo de Información Institucional, Organizativa y de Planificación. De hecho, la LOPD introdujo un nuevo artículo, 6 bis, en la Ley de Transparencia, Acceso a la Información y Buen Gobierno, que contempla esta obligación. Este Consejo recomienda que en el bloque de Información Institucional, Organizativa y de Planificación se ubique esta información.</w:t>
      </w:r>
    </w:p>
    <w:p w:rsidR="00DC7839" w:rsidRPr="008509E0" w:rsidRDefault="00DC7839" w:rsidP="008509E0">
      <w:pPr>
        <w:pStyle w:val="Sinespaciado"/>
        <w:spacing w:line="276" w:lineRule="auto"/>
        <w:jc w:val="both"/>
        <w:rPr>
          <w:rFonts w:ascii="Century Gothic" w:hAnsi="Century Gothic"/>
        </w:rPr>
      </w:pPr>
    </w:p>
    <w:p w:rsidR="00AE6A4F" w:rsidRDefault="00AE6A4F" w:rsidP="00C61E7F">
      <w:pPr>
        <w:pStyle w:val="Sinespaciado"/>
        <w:spacing w:line="276" w:lineRule="auto"/>
        <w:jc w:val="both"/>
        <w:rPr>
          <w:rFonts w:ascii="Century Gothic" w:hAnsi="Century Gothic"/>
        </w:rPr>
      </w:pPr>
    </w:p>
    <w:p w:rsidR="009C0F13" w:rsidRDefault="00AE6A4F" w:rsidP="009C0F13">
      <w:pPr>
        <w:pStyle w:val="Sinespaciado"/>
        <w:spacing w:line="276" w:lineRule="auto"/>
        <w:jc w:val="right"/>
        <w:rPr>
          <w:rFonts w:ascii="Century Gothic" w:hAnsi="Century Gothic"/>
        </w:rPr>
      </w:pPr>
      <w:r>
        <w:rPr>
          <w:rFonts w:ascii="Century Gothic" w:hAnsi="Century Gothic"/>
        </w:rPr>
        <w:t xml:space="preserve">Madrid, marzo </w:t>
      </w:r>
      <w:bookmarkStart w:id="1" w:name="_GoBack"/>
      <w:bookmarkEnd w:id="1"/>
      <w:r>
        <w:rPr>
          <w:rFonts w:ascii="Century Gothic" w:hAnsi="Century Gothic"/>
        </w:rPr>
        <w:t>de 2020</w:t>
      </w:r>
    </w:p>
    <w:p w:rsidR="009C0F13" w:rsidRDefault="009C0F13">
      <w:pPr>
        <w:rPr>
          <w:szCs w:val="22"/>
        </w:rPr>
      </w:pPr>
      <w:r>
        <w:br w:type="page"/>
      </w:r>
    </w:p>
    <w:p w:rsidR="009654DA" w:rsidRPr="002D27E4" w:rsidRDefault="002D27E4" w:rsidP="00244EDA">
      <w:pPr>
        <w:pStyle w:val="Cuerpodelboletn"/>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46ECB127" wp14:editId="0155101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375723EA" wp14:editId="25098E85">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D4C90" w:rsidRPr="00F31BC3" w:rsidRDefault="006D4C90" w:rsidP="002D27E4">
                            <w:r w:rsidRPr="00965C69">
                              <w:rPr>
                                <w:noProof/>
                                <w:lang w:eastAsia="es-ES"/>
                              </w:rPr>
                              <w:drawing>
                                <wp:inline distT="0" distB="0" distL="0" distR="0" wp14:anchorId="40FEB932" wp14:editId="071385D0">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D4C90" w:rsidRPr="00F31BC3" w:rsidRDefault="006D4C9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 xml:space="preserve">Dónde quedan publicadas las obligaciones de publicidad </w:t>
            </w:r>
            <w:r w:rsidRPr="009654DA">
              <w:rPr>
                <w:rFonts w:eastAsia="Times New Roman" w:cs="Calibri"/>
                <w:color w:val="000000"/>
                <w:sz w:val="16"/>
                <w:szCs w:val="16"/>
                <w:lang w:eastAsia="es-ES"/>
              </w:rPr>
              <w:lastRenderedPageBreak/>
              <w:t>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lastRenderedPageBreak/>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D8" w:rsidRDefault="003757D8" w:rsidP="00F31BC3">
      <w:r>
        <w:separator/>
      </w:r>
    </w:p>
  </w:endnote>
  <w:endnote w:type="continuationSeparator" w:id="0">
    <w:p w:rsidR="003757D8" w:rsidRDefault="003757D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D8" w:rsidRDefault="003757D8" w:rsidP="00F31BC3">
      <w:r>
        <w:separator/>
      </w:r>
    </w:p>
  </w:footnote>
  <w:footnote w:type="continuationSeparator" w:id="0">
    <w:p w:rsidR="003757D8" w:rsidRDefault="003757D8"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B2275"/>
    <w:rsid w:val="000D3907"/>
    <w:rsid w:val="000D5417"/>
    <w:rsid w:val="000E0A9E"/>
    <w:rsid w:val="000E7ADD"/>
    <w:rsid w:val="00104DE9"/>
    <w:rsid w:val="00104E94"/>
    <w:rsid w:val="001149B1"/>
    <w:rsid w:val="00132732"/>
    <w:rsid w:val="00146C3C"/>
    <w:rsid w:val="00164876"/>
    <w:rsid w:val="001763F8"/>
    <w:rsid w:val="00187CDD"/>
    <w:rsid w:val="0019448F"/>
    <w:rsid w:val="001A0DA8"/>
    <w:rsid w:val="001A5305"/>
    <w:rsid w:val="001C3E2F"/>
    <w:rsid w:val="001C4509"/>
    <w:rsid w:val="001C7C78"/>
    <w:rsid w:val="001C7D84"/>
    <w:rsid w:val="001E5AAD"/>
    <w:rsid w:val="0021682B"/>
    <w:rsid w:val="00231D61"/>
    <w:rsid w:val="00243294"/>
    <w:rsid w:val="00244EDA"/>
    <w:rsid w:val="002467FA"/>
    <w:rsid w:val="00263F79"/>
    <w:rsid w:val="002D0702"/>
    <w:rsid w:val="002D27E4"/>
    <w:rsid w:val="002E409F"/>
    <w:rsid w:val="0031769F"/>
    <w:rsid w:val="00347877"/>
    <w:rsid w:val="00355DC0"/>
    <w:rsid w:val="003757D8"/>
    <w:rsid w:val="003A1694"/>
    <w:rsid w:val="003A390C"/>
    <w:rsid w:val="003B57E6"/>
    <w:rsid w:val="003B6B96"/>
    <w:rsid w:val="003D2C4A"/>
    <w:rsid w:val="003E564B"/>
    <w:rsid w:val="003E5D2F"/>
    <w:rsid w:val="003F6EDC"/>
    <w:rsid w:val="00415BCD"/>
    <w:rsid w:val="00415DBD"/>
    <w:rsid w:val="00422B18"/>
    <w:rsid w:val="0044352D"/>
    <w:rsid w:val="004720A5"/>
    <w:rsid w:val="0047735C"/>
    <w:rsid w:val="004859CC"/>
    <w:rsid w:val="004A1663"/>
    <w:rsid w:val="004C6440"/>
    <w:rsid w:val="004D50CC"/>
    <w:rsid w:val="004D7037"/>
    <w:rsid w:val="004E7B33"/>
    <w:rsid w:val="00506864"/>
    <w:rsid w:val="005301DF"/>
    <w:rsid w:val="00536832"/>
    <w:rsid w:val="00544EA0"/>
    <w:rsid w:val="00563295"/>
    <w:rsid w:val="005B1544"/>
    <w:rsid w:val="005C4778"/>
    <w:rsid w:val="005E2505"/>
    <w:rsid w:val="005E6704"/>
    <w:rsid w:val="00603DFC"/>
    <w:rsid w:val="00633EAA"/>
    <w:rsid w:val="0069673B"/>
    <w:rsid w:val="006B75D8"/>
    <w:rsid w:val="006C0CDD"/>
    <w:rsid w:val="006D49E7"/>
    <w:rsid w:val="006D4C90"/>
    <w:rsid w:val="006E75DE"/>
    <w:rsid w:val="007071A8"/>
    <w:rsid w:val="00707C14"/>
    <w:rsid w:val="00714C54"/>
    <w:rsid w:val="00717272"/>
    <w:rsid w:val="007325D0"/>
    <w:rsid w:val="0073626B"/>
    <w:rsid w:val="00751FAA"/>
    <w:rsid w:val="00760E4B"/>
    <w:rsid w:val="00766368"/>
    <w:rsid w:val="0076640C"/>
    <w:rsid w:val="00767C60"/>
    <w:rsid w:val="00777FB3"/>
    <w:rsid w:val="00781700"/>
    <w:rsid w:val="00790143"/>
    <w:rsid w:val="007942B7"/>
    <w:rsid w:val="007954A6"/>
    <w:rsid w:val="007D1701"/>
    <w:rsid w:val="007D5CBF"/>
    <w:rsid w:val="007F1D56"/>
    <w:rsid w:val="007F5F9D"/>
    <w:rsid w:val="00803D20"/>
    <w:rsid w:val="00821526"/>
    <w:rsid w:val="0082470D"/>
    <w:rsid w:val="00825ACB"/>
    <w:rsid w:val="008509E0"/>
    <w:rsid w:val="00882A5B"/>
    <w:rsid w:val="00891E6F"/>
    <w:rsid w:val="00894358"/>
    <w:rsid w:val="0089455A"/>
    <w:rsid w:val="00897D04"/>
    <w:rsid w:val="00902A71"/>
    <w:rsid w:val="009039FD"/>
    <w:rsid w:val="00903FE0"/>
    <w:rsid w:val="00912DB4"/>
    <w:rsid w:val="009300AA"/>
    <w:rsid w:val="009654DA"/>
    <w:rsid w:val="00965C69"/>
    <w:rsid w:val="00982299"/>
    <w:rsid w:val="009B75CD"/>
    <w:rsid w:val="009C0F13"/>
    <w:rsid w:val="009C5469"/>
    <w:rsid w:val="009D35A4"/>
    <w:rsid w:val="009D3CC3"/>
    <w:rsid w:val="009D4047"/>
    <w:rsid w:val="009D78D2"/>
    <w:rsid w:val="009E049D"/>
    <w:rsid w:val="009E2E6F"/>
    <w:rsid w:val="009E7254"/>
    <w:rsid w:val="00A0626F"/>
    <w:rsid w:val="00A1361E"/>
    <w:rsid w:val="00A24E51"/>
    <w:rsid w:val="00A51AAD"/>
    <w:rsid w:val="00A82709"/>
    <w:rsid w:val="00AA0AE1"/>
    <w:rsid w:val="00AC2723"/>
    <w:rsid w:val="00AC4A6F"/>
    <w:rsid w:val="00AD6065"/>
    <w:rsid w:val="00AE6A4F"/>
    <w:rsid w:val="00AF5151"/>
    <w:rsid w:val="00B1184C"/>
    <w:rsid w:val="00B220EC"/>
    <w:rsid w:val="00B5314A"/>
    <w:rsid w:val="00B56A3A"/>
    <w:rsid w:val="00B77C12"/>
    <w:rsid w:val="00B85EA1"/>
    <w:rsid w:val="00BA03C4"/>
    <w:rsid w:val="00BA14E6"/>
    <w:rsid w:val="00BA3611"/>
    <w:rsid w:val="00BC61D1"/>
    <w:rsid w:val="00BD18E4"/>
    <w:rsid w:val="00BD1E44"/>
    <w:rsid w:val="00BD2172"/>
    <w:rsid w:val="00BD2842"/>
    <w:rsid w:val="00C02953"/>
    <w:rsid w:val="00C11DD3"/>
    <w:rsid w:val="00C1290B"/>
    <w:rsid w:val="00C213EC"/>
    <w:rsid w:val="00C24010"/>
    <w:rsid w:val="00C259F4"/>
    <w:rsid w:val="00C27705"/>
    <w:rsid w:val="00C3228C"/>
    <w:rsid w:val="00C4050E"/>
    <w:rsid w:val="00C4430D"/>
    <w:rsid w:val="00C451D3"/>
    <w:rsid w:val="00C54D21"/>
    <w:rsid w:val="00C61E7F"/>
    <w:rsid w:val="00C66E73"/>
    <w:rsid w:val="00C91330"/>
    <w:rsid w:val="00CA18CA"/>
    <w:rsid w:val="00CC48E8"/>
    <w:rsid w:val="00CD3DE8"/>
    <w:rsid w:val="00CF21EB"/>
    <w:rsid w:val="00D014E1"/>
    <w:rsid w:val="00D01CA1"/>
    <w:rsid w:val="00D1453D"/>
    <w:rsid w:val="00D41F4C"/>
    <w:rsid w:val="00D520C8"/>
    <w:rsid w:val="00D70570"/>
    <w:rsid w:val="00D96084"/>
    <w:rsid w:val="00DA6660"/>
    <w:rsid w:val="00DC5B52"/>
    <w:rsid w:val="00DC7839"/>
    <w:rsid w:val="00DD515F"/>
    <w:rsid w:val="00DF25D7"/>
    <w:rsid w:val="00DF555F"/>
    <w:rsid w:val="00E023B5"/>
    <w:rsid w:val="00E33169"/>
    <w:rsid w:val="00E51AC4"/>
    <w:rsid w:val="00E6528C"/>
    <w:rsid w:val="00E73F4D"/>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1.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34D38"/>
    <w:rsid w:val="00342D56"/>
    <w:rsid w:val="00583D19"/>
    <w:rsid w:val="00787EBD"/>
    <w:rsid w:val="008E118A"/>
    <w:rsid w:val="00AB484A"/>
    <w:rsid w:val="00C32372"/>
    <w:rsid w:val="00DE3DE6"/>
    <w:rsid w:val="00EB2177"/>
    <w:rsid w:val="00ED4E7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2BC6AF4-0D3E-4A7F-95A7-AA6D7013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62</TotalTime>
  <Pages>5</Pages>
  <Words>1256</Words>
  <Characters>6910</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10</cp:revision>
  <cp:lastPrinted>2008-09-26T23:14:00Z</cp:lastPrinted>
  <dcterms:created xsi:type="dcterms:W3CDTF">2020-03-31T15:43:00Z</dcterms:created>
  <dcterms:modified xsi:type="dcterms:W3CDTF">2020-06-09T11:19:00Z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