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58" w:rsidRPr="00D16D9B" w:rsidRDefault="00913DD4" w:rsidP="000B55B5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D16D9B">
        <w:rPr>
          <w:rFonts w:ascii="Century Gothic" w:hAnsi="Century Gothic"/>
          <w:b/>
          <w:sz w:val="20"/>
          <w:szCs w:val="20"/>
        </w:rPr>
        <w:t xml:space="preserve">At. D. </w:t>
      </w:r>
      <w:r w:rsidR="00272E55" w:rsidRPr="00D16D9B">
        <w:rPr>
          <w:rFonts w:ascii="Century Gothic" w:hAnsi="Century Gothic"/>
          <w:b/>
          <w:sz w:val="20"/>
          <w:szCs w:val="20"/>
        </w:rPr>
        <w:t xml:space="preserve">Francisco Javier Amorós </w:t>
      </w:r>
      <w:proofErr w:type="spellStart"/>
      <w:r w:rsidR="00272E55" w:rsidRPr="00D16D9B">
        <w:rPr>
          <w:rFonts w:ascii="Century Gothic" w:hAnsi="Century Gothic"/>
          <w:b/>
          <w:sz w:val="20"/>
          <w:szCs w:val="20"/>
        </w:rPr>
        <w:t>Dorda</w:t>
      </w:r>
      <w:proofErr w:type="spellEnd"/>
    </w:p>
    <w:p w:rsidR="00913DD4" w:rsidRPr="00D16D9B" w:rsidRDefault="00272E55" w:rsidP="00913DD4">
      <w:pPr>
        <w:spacing w:after="0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 xml:space="preserve">Subdirector </w:t>
      </w:r>
      <w:r w:rsidR="00171622" w:rsidRPr="00D16D9B">
        <w:rPr>
          <w:rFonts w:ascii="Century Gothic" w:hAnsi="Century Gothic"/>
          <w:sz w:val="20"/>
          <w:szCs w:val="20"/>
        </w:rPr>
        <w:t xml:space="preserve">General </w:t>
      </w:r>
      <w:r w:rsidRPr="00D16D9B">
        <w:rPr>
          <w:rFonts w:ascii="Century Gothic" w:hAnsi="Century Gothic"/>
          <w:sz w:val="20"/>
          <w:szCs w:val="20"/>
        </w:rPr>
        <w:t>de Transparencia y Buen Gobierno</w:t>
      </w:r>
    </w:p>
    <w:p w:rsidR="00913DD4" w:rsidRPr="00D16D9B" w:rsidRDefault="00272E55" w:rsidP="00913DD4">
      <w:pPr>
        <w:spacing w:after="0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Consejo de Transparencia y Buen Gobierno</w:t>
      </w:r>
    </w:p>
    <w:p w:rsidR="00913DD4" w:rsidRPr="00D16D9B" w:rsidRDefault="00272E55" w:rsidP="00913DD4">
      <w:pPr>
        <w:spacing w:after="0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C/ José Abascal, 2 – 5</w:t>
      </w:r>
      <w:r w:rsidR="00913DD4" w:rsidRPr="00D16D9B">
        <w:rPr>
          <w:rFonts w:ascii="Century Gothic" w:hAnsi="Century Gothic"/>
          <w:sz w:val="20"/>
          <w:szCs w:val="20"/>
        </w:rPr>
        <w:t>º</w:t>
      </w:r>
    </w:p>
    <w:p w:rsidR="00913DD4" w:rsidRPr="00D16D9B" w:rsidRDefault="00913DD4" w:rsidP="00913DD4">
      <w:pPr>
        <w:spacing w:after="0"/>
        <w:rPr>
          <w:rFonts w:ascii="Century Gothic" w:hAnsi="Century Gothic"/>
          <w:sz w:val="20"/>
          <w:szCs w:val="20"/>
          <w:u w:val="single"/>
        </w:rPr>
      </w:pPr>
      <w:r w:rsidRPr="00D16D9B">
        <w:rPr>
          <w:rFonts w:ascii="Century Gothic" w:hAnsi="Century Gothic"/>
          <w:sz w:val="20"/>
          <w:szCs w:val="20"/>
          <w:u w:val="single"/>
        </w:rPr>
        <w:t>28003 MADRID</w:t>
      </w:r>
    </w:p>
    <w:p w:rsidR="001C2014" w:rsidRPr="00D16D9B" w:rsidRDefault="001C2014" w:rsidP="000B55B5">
      <w:pPr>
        <w:rPr>
          <w:rFonts w:ascii="Century Gothic" w:hAnsi="Century Gothic"/>
          <w:sz w:val="20"/>
          <w:szCs w:val="20"/>
        </w:rPr>
      </w:pPr>
    </w:p>
    <w:p w:rsidR="00AE2C90" w:rsidRPr="00D16D9B" w:rsidRDefault="001C2014" w:rsidP="00913DD4">
      <w:pPr>
        <w:jc w:val="right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 xml:space="preserve">Madrid, </w:t>
      </w:r>
      <w:r w:rsidR="005F272A" w:rsidRPr="00D16D9B">
        <w:rPr>
          <w:rFonts w:ascii="Century Gothic" w:hAnsi="Century Gothic"/>
          <w:sz w:val="20"/>
          <w:szCs w:val="20"/>
        </w:rPr>
        <w:t xml:space="preserve">2 </w:t>
      </w:r>
      <w:r w:rsidR="00171622" w:rsidRPr="00D16D9B">
        <w:rPr>
          <w:rFonts w:ascii="Century Gothic" w:hAnsi="Century Gothic"/>
          <w:sz w:val="20"/>
          <w:szCs w:val="20"/>
        </w:rPr>
        <w:t>de julio 2020</w:t>
      </w:r>
    </w:p>
    <w:p w:rsidR="00B54BC7" w:rsidRPr="00D16D9B" w:rsidRDefault="00B54BC7" w:rsidP="00913DD4">
      <w:pPr>
        <w:jc w:val="right"/>
        <w:rPr>
          <w:rFonts w:ascii="Century Gothic" w:hAnsi="Century Gothic"/>
          <w:sz w:val="20"/>
          <w:szCs w:val="20"/>
        </w:rPr>
      </w:pPr>
    </w:p>
    <w:p w:rsidR="00AE2C90" w:rsidRPr="00D16D9B" w:rsidRDefault="00D16D9B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Asunto: </w:t>
      </w:r>
      <w:r w:rsidR="00272E55" w:rsidRPr="00D16D9B">
        <w:rPr>
          <w:rFonts w:ascii="Century Gothic" w:hAnsi="Century Gothic"/>
          <w:sz w:val="20"/>
          <w:szCs w:val="20"/>
          <w:u w:val="single"/>
        </w:rPr>
        <w:t xml:space="preserve">Borrador del Informe de </w:t>
      </w:r>
      <w:r>
        <w:rPr>
          <w:rFonts w:ascii="Century Gothic" w:hAnsi="Century Gothic"/>
          <w:sz w:val="20"/>
          <w:szCs w:val="20"/>
          <w:u w:val="single"/>
        </w:rPr>
        <w:t>revisión del cumplimiento de las recomendaciones efectuadas por el CTBG en materia de Publicidad Activa por parte de CESCE</w:t>
      </w:r>
    </w:p>
    <w:p w:rsidR="002939E4" w:rsidRPr="00D16D9B" w:rsidRDefault="002939E4">
      <w:pPr>
        <w:rPr>
          <w:rFonts w:ascii="Century Gothic" w:hAnsi="Century Gothic"/>
          <w:sz w:val="20"/>
          <w:szCs w:val="20"/>
        </w:rPr>
      </w:pPr>
    </w:p>
    <w:p w:rsidR="00AE2C90" w:rsidRPr="00D16D9B" w:rsidRDefault="00272E55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Estimado</w:t>
      </w:r>
      <w:r w:rsidR="00AE2C90" w:rsidRPr="00D16D9B">
        <w:rPr>
          <w:rFonts w:ascii="Century Gothic" w:hAnsi="Century Gothic"/>
          <w:sz w:val="20"/>
          <w:szCs w:val="20"/>
        </w:rPr>
        <w:t xml:space="preserve">, </w:t>
      </w:r>
    </w:p>
    <w:p w:rsidR="00171622" w:rsidRPr="00D16D9B" w:rsidRDefault="00272E55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 xml:space="preserve">Con fecha </w:t>
      </w:r>
      <w:r w:rsidR="00171622" w:rsidRPr="00D16D9B">
        <w:rPr>
          <w:rFonts w:ascii="Century Gothic" w:hAnsi="Century Gothic"/>
          <w:sz w:val="20"/>
          <w:szCs w:val="20"/>
        </w:rPr>
        <w:t>11 de junio 2020</w:t>
      </w:r>
      <w:r w:rsidRPr="00D16D9B">
        <w:rPr>
          <w:rFonts w:ascii="Century Gothic" w:hAnsi="Century Gothic"/>
          <w:sz w:val="20"/>
          <w:szCs w:val="20"/>
        </w:rPr>
        <w:t xml:space="preserve"> recibimos por correo electrónico el</w:t>
      </w:r>
      <w:r w:rsidR="00171622" w:rsidRPr="00D16D9B">
        <w:rPr>
          <w:rFonts w:ascii="Century Gothic" w:hAnsi="Century Gothic"/>
          <w:sz w:val="20"/>
          <w:szCs w:val="20"/>
        </w:rPr>
        <w:t xml:space="preserve"> borrador de Informe de revisión del grado de cumplimiento de las recomendaciones efectuadas por el Comité de Transparencia y Buen Gobierno</w:t>
      </w:r>
      <w:r w:rsidR="00607C5A">
        <w:rPr>
          <w:rFonts w:ascii="Century Gothic" w:hAnsi="Century Gothic"/>
          <w:sz w:val="20"/>
          <w:szCs w:val="20"/>
        </w:rPr>
        <w:t xml:space="preserve"> (CTBG)</w:t>
      </w:r>
      <w:r w:rsidR="00171622" w:rsidRPr="00D16D9B">
        <w:rPr>
          <w:rFonts w:ascii="Century Gothic" w:hAnsi="Century Gothic"/>
          <w:sz w:val="20"/>
          <w:szCs w:val="20"/>
        </w:rPr>
        <w:t xml:space="preserve"> en materia de publicidad activa por parte de </w:t>
      </w:r>
      <w:r w:rsidR="005F272A" w:rsidRPr="00D16D9B">
        <w:rPr>
          <w:rFonts w:ascii="Century Gothic" w:hAnsi="Century Gothic"/>
          <w:sz w:val="20"/>
          <w:szCs w:val="20"/>
        </w:rPr>
        <w:t>COMPAÑÍA ESPAÑOLA DE SEGUROS DE CRÉDITO A LA EXPORTACIÓN, S.A. COMPAÑÍA DE SEGUROS Y REASEGUROS S.M.E. (en adelante CESCE)</w:t>
      </w:r>
      <w:r w:rsidR="00171622" w:rsidRPr="00D16D9B">
        <w:rPr>
          <w:rFonts w:ascii="Century Gothic" w:hAnsi="Century Gothic"/>
          <w:sz w:val="20"/>
          <w:szCs w:val="20"/>
        </w:rPr>
        <w:t>, con la solicitud de hacerles llegar nuestra valoraci</w:t>
      </w:r>
      <w:r w:rsidR="00607C5A">
        <w:rPr>
          <w:rFonts w:ascii="Century Gothic" w:hAnsi="Century Gothic"/>
          <w:sz w:val="20"/>
          <w:szCs w:val="20"/>
        </w:rPr>
        <w:t>ón así como las observaciones de nuestra consideración</w:t>
      </w:r>
      <w:r w:rsidR="00171622" w:rsidRPr="00D16D9B">
        <w:rPr>
          <w:rFonts w:ascii="Century Gothic" w:hAnsi="Century Gothic"/>
          <w:sz w:val="20"/>
          <w:szCs w:val="20"/>
        </w:rPr>
        <w:t>.</w:t>
      </w:r>
    </w:p>
    <w:p w:rsidR="00373C69" w:rsidRPr="00D16D9B" w:rsidRDefault="00171622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 xml:space="preserve">Tras analizar el informe remitido, vemos que se </w:t>
      </w:r>
      <w:r w:rsidR="00044EB3" w:rsidRPr="00D16D9B">
        <w:rPr>
          <w:rFonts w:ascii="Century Gothic" w:hAnsi="Century Gothic"/>
          <w:sz w:val="20"/>
          <w:szCs w:val="20"/>
        </w:rPr>
        <w:t>ha</w:t>
      </w:r>
      <w:r w:rsidRPr="00D16D9B">
        <w:rPr>
          <w:rFonts w:ascii="Century Gothic" w:hAnsi="Century Gothic"/>
          <w:sz w:val="20"/>
          <w:szCs w:val="20"/>
        </w:rPr>
        <w:t xml:space="preserve"> tenido en cuenta la implementación de las actuaciones llevadas </w:t>
      </w:r>
      <w:r w:rsidR="00607C5A">
        <w:rPr>
          <w:rFonts w:ascii="Century Gothic" w:hAnsi="Century Gothic"/>
          <w:sz w:val="20"/>
          <w:szCs w:val="20"/>
        </w:rPr>
        <w:t>a cabo por CESCE en el</w:t>
      </w:r>
      <w:r w:rsidR="00373C69" w:rsidRPr="00D16D9B">
        <w:rPr>
          <w:rFonts w:ascii="Century Gothic" w:hAnsi="Century Gothic"/>
          <w:sz w:val="20"/>
          <w:szCs w:val="20"/>
        </w:rPr>
        <w:t xml:space="preserve"> año 2019 y que suponen un incremento del Índice de Cumplimiento de la Información Obligatoria (ICIO) en un 33,3%, pasando de un 61,5% a un 82%, lo que a consideración del </w:t>
      </w:r>
      <w:r w:rsidR="00607C5A">
        <w:rPr>
          <w:rFonts w:ascii="Century Gothic" w:hAnsi="Century Gothic"/>
          <w:sz w:val="20"/>
          <w:szCs w:val="20"/>
        </w:rPr>
        <w:t xml:space="preserve">CTBG se trata de </w:t>
      </w:r>
      <w:r w:rsidR="00373C69" w:rsidRPr="00D16D9B">
        <w:rPr>
          <w:rFonts w:ascii="Century Gothic" w:hAnsi="Century Gothic"/>
          <w:sz w:val="20"/>
          <w:szCs w:val="20"/>
        </w:rPr>
        <w:t>un nivel de cumplimiento elevado.</w:t>
      </w:r>
    </w:p>
    <w:p w:rsidR="00044EB3" w:rsidRPr="00D16D9B" w:rsidRDefault="00171622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 xml:space="preserve">En cuanto a las áreas de mejora indicadas en el </w:t>
      </w:r>
      <w:r w:rsidR="00044EB3" w:rsidRPr="00D16D9B">
        <w:rPr>
          <w:rFonts w:ascii="Century Gothic" w:hAnsi="Century Gothic"/>
          <w:sz w:val="20"/>
          <w:szCs w:val="20"/>
        </w:rPr>
        <w:t>borrador de Informe</w:t>
      </w:r>
      <w:r w:rsidRPr="00D16D9B">
        <w:rPr>
          <w:rFonts w:ascii="Century Gothic" w:hAnsi="Century Gothic"/>
          <w:sz w:val="20"/>
          <w:szCs w:val="20"/>
        </w:rPr>
        <w:t xml:space="preserve">, </w:t>
      </w:r>
      <w:r w:rsidR="00044EB3" w:rsidRPr="00D16D9B">
        <w:rPr>
          <w:rFonts w:ascii="Century Gothic" w:hAnsi="Century Gothic"/>
          <w:sz w:val="20"/>
          <w:szCs w:val="20"/>
        </w:rPr>
        <w:t xml:space="preserve">a continuación </w:t>
      </w:r>
      <w:r w:rsidRPr="00D16D9B">
        <w:rPr>
          <w:rFonts w:ascii="Century Gothic" w:hAnsi="Century Gothic"/>
          <w:sz w:val="20"/>
          <w:szCs w:val="20"/>
        </w:rPr>
        <w:t>l</w:t>
      </w:r>
      <w:r w:rsidR="00044EB3" w:rsidRPr="00D16D9B">
        <w:rPr>
          <w:rFonts w:ascii="Century Gothic" w:hAnsi="Century Gothic"/>
          <w:sz w:val="20"/>
          <w:szCs w:val="20"/>
        </w:rPr>
        <w:t>es hacemos llegar nuestras</w:t>
      </w:r>
      <w:r w:rsidRPr="00D16D9B">
        <w:rPr>
          <w:rFonts w:ascii="Century Gothic" w:hAnsi="Century Gothic"/>
          <w:sz w:val="20"/>
          <w:szCs w:val="20"/>
        </w:rPr>
        <w:t xml:space="preserve"> observaciones</w:t>
      </w:r>
      <w:r w:rsidR="00373C69" w:rsidRPr="00D16D9B">
        <w:rPr>
          <w:rFonts w:ascii="Century Gothic" w:hAnsi="Century Gothic"/>
          <w:sz w:val="20"/>
          <w:szCs w:val="20"/>
        </w:rPr>
        <w:t xml:space="preserve">, </w:t>
      </w:r>
      <w:r w:rsidR="00044EB3" w:rsidRPr="00D16D9B">
        <w:rPr>
          <w:rFonts w:ascii="Century Gothic" w:hAnsi="Century Gothic"/>
          <w:sz w:val="20"/>
          <w:szCs w:val="20"/>
        </w:rPr>
        <w:t>ajustándonos al contenido del epígrafe IV. Conclusiones (tercer y cuarto párrafo).</w:t>
      </w:r>
    </w:p>
    <w:p w:rsidR="00171622" w:rsidRPr="00D16D9B" w:rsidRDefault="00171622" w:rsidP="002F0232">
      <w:pPr>
        <w:jc w:val="both"/>
        <w:rPr>
          <w:rFonts w:ascii="Century Gothic" w:hAnsi="Century Gothic"/>
          <w:b/>
          <w:sz w:val="20"/>
          <w:szCs w:val="20"/>
        </w:rPr>
      </w:pPr>
      <w:r w:rsidRPr="00D16D9B">
        <w:rPr>
          <w:rFonts w:ascii="Century Gothic" w:hAnsi="Century Gothic"/>
          <w:b/>
          <w:sz w:val="20"/>
          <w:szCs w:val="20"/>
        </w:rPr>
        <w:t xml:space="preserve">1. </w:t>
      </w:r>
      <w:r w:rsidR="00044EB3" w:rsidRPr="00D16D9B">
        <w:rPr>
          <w:rFonts w:ascii="Century Gothic" w:hAnsi="Century Gothic"/>
          <w:b/>
          <w:sz w:val="20"/>
          <w:szCs w:val="20"/>
        </w:rPr>
        <w:t>Datos estadísticos sobre los contratos realizados según procedimiento de licitación.</w:t>
      </w:r>
    </w:p>
    <w:p w:rsidR="00044EB3" w:rsidRPr="00D16D9B" w:rsidRDefault="00044EB3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El artículo 8.a) de la Ley 19/2013, de 9 de diciembre, de transparencia, acceso a la información públicas y buen gobierno (en adelante LTAIBG), establece en su segundo párrafo que se publicarán datos estadísticos sobre los contratos adjudicados a través de cada uno de los procedimientos previstos en la legislación de contratos del sector público.</w:t>
      </w:r>
    </w:p>
    <w:p w:rsidR="00160298" w:rsidRDefault="0092373F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En el mes de julio 2020, CESCE ha incorporado esta información en el apartado de Información económica, presupuestaria y estadística, dando cumplimiento a la mejora propuesta en su borrador de Informe.</w:t>
      </w:r>
      <w:r w:rsidR="00173621" w:rsidRPr="00D16D9B">
        <w:rPr>
          <w:rFonts w:ascii="Century Gothic" w:hAnsi="Century Gothic"/>
          <w:sz w:val="20"/>
          <w:szCs w:val="20"/>
        </w:rPr>
        <w:t xml:space="preserve"> </w:t>
      </w:r>
      <w:r w:rsidR="00F8411F">
        <w:rPr>
          <w:rFonts w:ascii="Century Gothic" w:hAnsi="Century Gothic"/>
          <w:sz w:val="20"/>
          <w:szCs w:val="20"/>
        </w:rPr>
        <w:t>Asimismo, se ha incluido información sobre los encargos suscritos por parte de CESCE.</w:t>
      </w:r>
    </w:p>
    <w:p w:rsidR="00160298" w:rsidRDefault="00160298" w:rsidP="002F0232">
      <w:pPr>
        <w:jc w:val="both"/>
        <w:rPr>
          <w:rFonts w:ascii="Century Gothic" w:hAnsi="Century Gothic"/>
          <w:sz w:val="20"/>
          <w:szCs w:val="20"/>
        </w:rPr>
      </w:pPr>
    </w:p>
    <w:p w:rsidR="0092373F" w:rsidRPr="00D16D9B" w:rsidRDefault="0092373F" w:rsidP="002F0232">
      <w:pPr>
        <w:jc w:val="both"/>
        <w:rPr>
          <w:rFonts w:ascii="Century Gothic" w:hAnsi="Century Gothic"/>
          <w:b/>
          <w:sz w:val="20"/>
          <w:szCs w:val="20"/>
        </w:rPr>
      </w:pPr>
      <w:r w:rsidRPr="00D16D9B">
        <w:rPr>
          <w:rFonts w:ascii="Century Gothic" w:hAnsi="Century Gothic"/>
          <w:b/>
          <w:sz w:val="20"/>
          <w:szCs w:val="20"/>
        </w:rPr>
        <w:lastRenderedPageBreak/>
        <w:t>2. Información desactualizada. Retribuciones de los responsables de la entidad y subvenciones.</w:t>
      </w:r>
    </w:p>
    <w:p w:rsidR="0092373F" w:rsidRPr="00D16D9B" w:rsidRDefault="0092373F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En su borrador de Informen indican que la información en materia de retribuciones de los responsables de la entidad se encuentra desactualizada al referirse a los datos el año 2018.</w:t>
      </w:r>
    </w:p>
    <w:p w:rsidR="00607C5A" w:rsidRDefault="00607C5A" w:rsidP="002F023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este respecto, les indicamos que</w:t>
      </w:r>
      <w:r w:rsidR="0092373F" w:rsidRPr="00D16D9B">
        <w:rPr>
          <w:rFonts w:ascii="Century Gothic" w:hAnsi="Century Gothic"/>
          <w:sz w:val="20"/>
          <w:szCs w:val="20"/>
        </w:rPr>
        <w:t xml:space="preserve"> la información</w:t>
      </w:r>
      <w:r>
        <w:rPr>
          <w:rFonts w:ascii="Century Gothic" w:hAnsi="Century Gothic"/>
          <w:sz w:val="20"/>
          <w:szCs w:val="20"/>
        </w:rPr>
        <w:t>,</w:t>
      </w:r>
      <w:r w:rsidR="0092373F" w:rsidRPr="00D16D9B">
        <w:rPr>
          <w:rFonts w:ascii="Century Gothic" w:hAnsi="Century Gothic"/>
          <w:sz w:val="20"/>
          <w:szCs w:val="20"/>
        </w:rPr>
        <w:t xml:space="preserve"> recogida en dicho epígrafe, se actualiza a año vencido</w:t>
      </w:r>
      <w:r>
        <w:rPr>
          <w:rFonts w:ascii="Century Gothic" w:hAnsi="Century Gothic"/>
          <w:sz w:val="20"/>
          <w:szCs w:val="20"/>
        </w:rPr>
        <w:t>. En este caso, los datos sobre la retribución del Presidente de CESCE en 2019, se cargó en la página web en el mes de abril del presente año.</w:t>
      </w:r>
    </w:p>
    <w:p w:rsidR="00173621" w:rsidRPr="00D16D9B" w:rsidRDefault="00173621" w:rsidP="002F0232">
      <w:pPr>
        <w:jc w:val="both"/>
        <w:rPr>
          <w:rFonts w:ascii="Century Gothic" w:hAnsi="Century Gothic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>Respecto a la información sobre la falta de actividad respecto a las subvenciones, en el mes de julio de este año, se ha procedido a actualizar a 2019 la información en la página web de CESCE.</w:t>
      </w:r>
    </w:p>
    <w:p w:rsidR="00173621" w:rsidRPr="00D16D9B" w:rsidRDefault="00173621" w:rsidP="002F0232">
      <w:pPr>
        <w:jc w:val="both"/>
        <w:rPr>
          <w:rFonts w:ascii="Century Gothic" w:hAnsi="Century Gothic"/>
          <w:b/>
          <w:sz w:val="20"/>
          <w:szCs w:val="20"/>
        </w:rPr>
      </w:pPr>
      <w:r w:rsidRPr="00D16D9B">
        <w:rPr>
          <w:rFonts w:ascii="Century Gothic" w:hAnsi="Century Gothic"/>
          <w:b/>
          <w:sz w:val="20"/>
          <w:szCs w:val="20"/>
        </w:rPr>
        <w:t>3. Información sobre el registro de actividades de tratamiento.</w:t>
      </w:r>
    </w:p>
    <w:p w:rsidR="00D16D9B" w:rsidRPr="00D16D9B" w:rsidRDefault="00173621" w:rsidP="00D16D9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sz w:val="20"/>
          <w:szCs w:val="20"/>
        </w:rPr>
        <w:t xml:space="preserve">El artículo 6. </w:t>
      </w:r>
      <w:proofErr w:type="gramStart"/>
      <w:r w:rsidRPr="00D16D9B">
        <w:rPr>
          <w:rFonts w:ascii="Century Gothic" w:hAnsi="Century Gothic"/>
          <w:sz w:val="20"/>
          <w:szCs w:val="20"/>
        </w:rPr>
        <w:t>bis</w:t>
      </w:r>
      <w:proofErr w:type="gramEnd"/>
      <w:r w:rsidRPr="00D16D9B">
        <w:rPr>
          <w:rFonts w:ascii="Century Gothic" w:hAnsi="Century Gothic"/>
          <w:sz w:val="20"/>
          <w:szCs w:val="20"/>
        </w:rPr>
        <w:t xml:space="preserve"> de la LTAIBG, establece </w:t>
      </w:r>
      <w:r w:rsidR="00D16D9B" w:rsidRPr="00D16D9B">
        <w:rPr>
          <w:rFonts w:ascii="Century Gothic" w:hAnsi="Century Gothic"/>
          <w:sz w:val="20"/>
          <w:szCs w:val="20"/>
        </w:rPr>
        <w:t xml:space="preserve">que los sujetos enumerados </w:t>
      </w:r>
      <w:r w:rsidR="00D16D9B" w:rsidRPr="00D16D9B">
        <w:rPr>
          <w:rFonts w:ascii="Century Gothic" w:hAnsi="Century Gothic"/>
          <w:color w:val="000000"/>
          <w:sz w:val="20"/>
          <w:szCs w:val="20"/>
        </w:rPr>
        <w:t>en el artículo 77.1 de la Ley Orgánica de Protección de Datos Personales y Garantía de los Derechos Digitales, publicarán su inventario de actividades de tratamiento.</w:t>
      </w:r>
    </w:p>
    <w:p w:rsidR="00D16D9B" w:rsidRPr="00D16D9B" w:rsidRDefault="00607C5A" w:rsidP="00D16D9B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</w:t>
      </w:r>
      <w:r w:rsidR="00D16D9B" w:rsidRPr="00D16D9B">
        <w:rPr>
          <w:rFonts w:ascii="Century Gothic" w:hAnsi="Century Gothic"/>
          <w:color w:val="000000"/>
          <w:sz w:val="20"/>
          <w:szCs w:val="20"/>
        </w:rPr>
        <w:t xml:space="preserve"> nuestro entender, CESCE no se encuentra entre los sujetos a los que se refiere el artículo 77.1 arriba referido, por lo que </w:t>
      </w:r>
      <w:r w:rsidR="00D16D9B">
        <w:rPr>
          <w:rFonts w:ascii="Century Gothic" w:hAnsi="Century Gothic"/>
          <w:color w:val="000000"/>
          <w:sz w:val="20"/>
          <w:szCs w:val="20"/>
        </w:rPr>
        <w:t xml:space="preserve">no </w:t>
      </w:r>
      <w:r w:rsidR="00D16D9B" w:rsidRPr="00D16D9B">
        <w:rPr>
          <w:rFonts w:ascii="Century Gothic" w:hAnsi="Century Gothic"/>
          <w:color w:val="000000"/>
          <w:sz w:val="20"/>
          <w:szCs w:val="20"/>
        </w:rPr>
        <w:t>está en obligación de publicar información sobre el registro de actividades de tratamiento en su portal de transparencia.</w:t>
      </w:r>
    </w:p>
    <w:p w:rsidR="00D16D9B" w:rsidRPr="00D16D9B" w:rsidRDefault="00D16D9B" w:rsidP="00D16D9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color w:val="000000"/>
          <w:sz w:val="20"/>
          <w:szCs w:val="20"/>
        </w:rPr>
        <w:t>Sin perjuicio de lo anterior,</w:t>
      </w:r>
      <w:r>
        <w:rPr>
          <w:rFonts w:ascii="Century Gothic" w:hAnsi="Century Gothic"/>
          <w:color w:val="000000"/>
          <w:sz w:val="20"/>
          <w:szCs w:val="20"/>
        </w:rPr>
        <w:t xml:space="preserve"> y atendiendo al contenido del</w:t>
      </w:r>
      <w:r w:rsidRPr="00D16D9B">
        <w:rPr>
          <w:rFonts w:ascii="Century Gothic" w:hAnsi="Century Gothic"/>
          <w:color w:val="000000"/>
          <w:sz w:val="20"/>
          <w:szCs w:val="20"/>
        </w:rPr>
        <w:t xml:space="preserve"> borrador de Informe, </w:t>
      </w:r>
      <w:r w:rsidR="00F8411F">
        <w:rPr>
          <w:rFonts w:ascii="Century Gothic" w:hAnsi="Century Gothic"/>
          <w:color w:val="000000"/>
          <w:sz w:val="20"/>
          <w:szCs w:val="20"/>
        </w:rPr>
        <w:t>se</w:t>
      </w:r>
      <w:r w:rsidRPr="00D16D9B">
        <w:rPr>
          <w:rFonts w:ascii="Century Gothic" w:hAnsi="Century Gothic"/>
          <w:color w:val="000000"/>
          <w:sz w:val="20"/>
          <w:szCs w:val="20"/>
        </w:rPr>
        <w:t xml:space="preserve"> ha incluido un enlace al acceso de Textos Legales donde se encuentra la Política de Privacidad </w:t>
      </w:r>
      <w:r w:rsidR="00965582">
        <w:rPr>
          <w:rFonts w:ascii="Century Gothic" w:hAnsi="Century Gothic"/>
          <w:color w:val="000000"/>
          <w:sz w:val="20"/>
          <w:szCs w:val="20"/>
        </w:rPr>
        <w:t>(RGPD) en la parte inferior de la presentación del Portal de Transparencia de la web de CESCE</w:t>
      </w:r>
      <w:r w:rsidRPr="00D16D9B">
        <w:rPr>
          <w:rFonts w:ascii="Century Gothic" w:hAnsi="Century Gothic"/>
          <w:color w:val="000000"/>
          <w:sz w:val="20"/>
          <w:szCs w:val="20"/>
        </w:rPr>
        <w:t>.</w:t>
      </w:r>
    </w:p>
    <w:p w:rsidR="0095485D" w:rsidRPr="00D16D9B" w:rsidRDefault="00C91F00" w:rsidP="00D16D9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color w:val="000000"/>
          <w:sz w:val="20"/>
          <w:szCs w:val="20"/>
        </w:rPr>
        <w:t>Por</w:t>
      </w:r>
      <w:r w:rsidR="0095485D" w:rsidRPr="00D16D9B">
        <w:rPr>
          <w:rFonts w:ascii="Century Gothic" w:hAnsi="Century Gothic"/>
          <w:color w:val="000000"/>
          <w:sz w:val="20"/>
          <w:szCs w:val="20"/>
        </w:rPr>
        <w:t xml:space="preserve"> lo expresado anteriormente, </w:t>
      </w:r>
      <w:r w:rsidR="00D16D9B">
        <w:rPr>
          <w:rFonts w:ascii="Century Gothic" w:hAnsi="Century Gothic"/>
          <w:color w:val="000000"/>
          <w:sz w:val="20"/>
          <w:szCs w:val="20"/>
        </w:rPr>
        <w:t xml:space="preserve">respecto a </w:t>
      </w:r>
      <w:r w:rsidR="0095485D" w:rsidRPr="00D16D9B">
        <w:rPr>
          <w:rFonts w:ascii="Century Gothic" w:hAnsi="Century Gothic"/>
          <w:color w:val="000000"/>
          <w:sz w:val="20"/>
          <w:szCs w:val="20"/>
        </w:rPr>
        <w:t xml:space="preserve">las </w:t>
      </w:r>
      <w:r w:rsidR="00607C5A">
        <w:rPr>
          <w:rFonts w:ascii="Century Gothic" w:hAnsi="Century Gothic"/>
          <w:color w:val="000000"/>
          <w:sz w:val="20"/>
          <w:szCs w:val="20"/>
        </w:rPr>
        <w:t xml:space="preserve">mejoras realizadas en el portal de transparencia de CESCE </w:t>
      </w:r>
      <w:r w:rsidR="00D16D9B">
        <w:rPr>
          <w:rFonts w:ascii="Century Gothic" w:hAnsi="Century Gothic"/>
          <w:color w:val="000000"/>
          <w:sz w:val="20"/>
          <w:szCs w:val="20"/>
        </w:rPr>
        <w:t>a la fecha de esta comunicación</w:t>
      </w:r>
      <w:r w:rsidR="0095485D" w:rsidRPr="00D16D9B">
        <w:rPr>
          <w:rFonts w:ascii="Century Gothic" w:hAnsi="Century Gothic"/>
          <w:color w:val="000000"/>
          <w:sz w:val="20"/>
          <w:szCs w:val="20"/>
        </w:rPr>
        <w:t>, entendemos que procedería u</w:t>
      </w:r>
      <w:r w:rsidR="00D16D9B">
        <w:rPr>
          <w:rFonts w:ascii="Century Gothic" w:hAnsi="Century Gothic"/>
          <w:color w:val="000000"/>
          <w:sz w:val="20"/>
          <w:szCs w:val="20"/>
        </w:rPr>
        <w:t>na reconsideración por parte de</w:t>
      </w:r>
      <w:r w:rsidR="0095485D" w:rsidRPr="00D16D9B">
        <w:rPr>
          <w:rFonts w:ascii="Century Gothic" w:hAnsi="Century Gothic"/>
          <w:color w:val="000000"/>
          <w:sz w:val="20"/>
          <w:szCs w:val="20"/>
        </w:rPr>
        <w:t xml:space="preserve"> ese Centro Directivo </w:t>
      </w:r>
      <w:r w:rsidR="00607C5A">
        <w:rPr>
          <w:rFonts w:ascii="Century Gothic" w:hAnsi="Century Gothic"/>
          <w:color w:val="000000"/>
          <w:sz w:val="20"/>
          <w:szCs w:val="20"/>
        </w:rPr>
        <w:t>de incorporar dicha</w:t>
      </w:r>
      <w:r w:rsidRPr="00D16D9B">
        <w:rPr>
          <w:rFonts w:ascii="Century Gothic" w:hAnsi="Century Gothic"/>
          <w:color w:val="000000"/>
          <w:sz w:val="20"/>
          <w:szCs w:val="20"/>
        </w:rPr>
        <w:t xml:space="preserve">s </w:t>
      </w:r>
      <w:r w:rsidR="00D16D9B">
        <w:rPr>
          <w:rFonts w:ascii="Century Gothic" w:hAnsi="Century Gothic"/>
          <w:color w:val="000000"/>
          <w:sz w:val="20"/>
          <w:szCs w:val="20"/>
        </w:rPr>
        <w:t xml:space="preserve">mejoras </w:t>
      </w:r>
      <w:r w:rsidRPr="00D16D9B">
        <w:rPr>
          <w:rFonts w:ascii="Century Gothic" w:hAnsi="Century Gothic"/>
          <w:color w:val="000000"/>
          <w:sz w:val="20"/>
          <w:szCs w:val="20"/>
        </w:rPr>
        <w:t>en el Informe de Evaluación definitivo.</w:t>
      </w:r>
    </w:p>
    <w:p w:rsidR="00272E55" w:rsidRPr="00D16D9B" w:rsidRDefault="006043BC" w:rsidP="00D16D9B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color w:val="000000"/>
          <w:sz w:val="20"/>
          <w:szCs w:val="20"/>
        </w:rPr>
        <w:t xml:space="preserve">Sin otro particular, quedamos a </w:t>
      </w:r>
      <w:r w:rsidR="0095485D" w:rsidRPr="00D16D9B">
        <w:rPr>
          <w:rFonts w:ascii="Century Gothic" w:hAnsi="Century Gothic"/>
          <w:color w:val="000000"/>
          <w:sz w:val="20"/>
          <w:szCs w:val="20"/>
        </w:rPr>
        <w:t xml:space="preserve">su </w:t>
      </w:r>
      <w:r w:rsidRPr="00D16D9B">
        <w:rPr>
          <w:rFonts w:ascii="Century Gothic" w:hAnsi="Century Gothic"/>
          <w:color w:val="000000"/>
          <w:sz w:val="20"/>
          <w:szCs w:val="20"/>
        </w:rPr>
        <w:t>disposición para cualquier aclaración que estim</w:t>
      </w:r>
      <w:r w:rsidR="0095485D" w:rsidRPr="00D16D9B">
        <w:rPr>
          <w:rFonts w:ascii="Century Gothic" w:hAnsi="Century Gothic"/>
          <w:color w:val="000000"/>
          <w:sz w:val="20"/>
          <w:szCs w:val="20"/>
        </w:rPr>
        <w:t>en oportuna</w:t>
      </w:r>
      <w:r w:rsidRPr="00D16D9B">
        <w:rPr>
          <w:rFonts w:ascii="Century Gothic" w:hAnsi="Century Gothic"/>
          <w:color w:val="000000"/>
          <w:sz w:val="20"/>
          <w:szCs w:val="20"/>
        </w:rPr>
        <w:t>.</w:t>
      </w:r>
    </w:p>
    <w:p w:rsidR="00463C66" w:rsidRPr="00D16D9B" w:rsidRDefault="007958CB" w:rsidP="002F0232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color w:val="000000"/>
          <w:sz w:val="20"/>
          <w:szCs w:val="20"/>
        </w:rPr>
        <w:t xml:space="preserve">Atentamente, </w:t>
      </w:r>
    </w:p>
    <w:p w:rsidR="002939E4" w:rsidRPr="00D16D9B" w:rsidRDefault="002939E4" w:rsidP="002F023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2939E4" w:rsidRPr="00D16D9B" w:rsidRDefault="00E67735" w:rsidP="00D16D9B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color w:val="000000"/>
          <w:sz w:val="20"/>
          <w:szCs w:val="20"/>
        </w:rPr>
        <w:t xml:space="preserve">Marta Silva de </w:t>
      </w:r>
      <w:proofErr w:type="spellStart"/>
      <w:r w:rsidRPr="00D16D9B">
        <w:rPr>
          <w:rFonts w:ascii="Century Gothic" w:hAnsi="Century Gothic"/>
          <w:color w:val="000000"/>
          <w:sz w:val="20"/>
          <w:szCs w:val="20"/>
        </w:rPr>
        <w:t>Lapuerta</w:t>
      </w:r>
      <w:proofErr w:type="spellEnd"/>
    </w:p>
    <w:p w:rsidR="00745044" w:rsidRPr="00D16D9B" w:rsidRDefault="00745044" w:rsidP="00D16D9B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D16D9B">
        <w:rPr>
          <w:rFonts w:ascii="Century Gothic" w:hAnsi="Century Gothic"/>
          <w:color w:val="000000"/>
          <w:sz w:val="20"/>
          <w:szCs w:val="20"/>
        </w:rPr>
        <w:t>Secretario General</w:t>
      </w:r>
    </w:p>
    <w:sectPr w:rsidR="00745044" w:rsidRPr="00D16D9B" w:rsidSect="00F8411F">
      <w:headerReference w:type="default" r:id="rId8"/>
      <w:pgSz w:w="11906" w:h="16838"/>
      <w:pgMar w:top="733" w:right="170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A5" w:rsidRDefault="002B1BA5" w:rsidP="006D6F97">
      <w:pPr>
        <w:spacing w:after="0" w:line="240" w:lineRule="auto"/>
      </w:pPr>
      <w:r>
        <w:separator/>
      </w:r>
    </w:p>
  </w:endnote>
  <w:endnote w:type="continuationSeparator" w:id="0">
    <w:p w:rsidR="002B1BA5" w:rsidRDefault="002B1BA5" w:rsidP="006D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A5" w:rsidRDefault="002B1BA5" w:rsidP="006D6F97">
      <w:pPr>
        <w:spacing w:after="0" w:line="240" w:lineRule="auto"/>
      </w:pPr>
      <w:r>
        <w:separator/>
      </w:r>
    </w:p>
  </w:footnote>
  <w:footnote w:type="continuationSeparator" w:id="0">
    <w:p w:rsidR="002B1BA5" w:rsidRDefault="002B1BA5" w:rsidP="006D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1F" w:rsidRDefault="00F8411F">
    <w:pPr>
      <w:pStyle w:val="Encabezado"/>
    </w:pPr>
    <w:r>
      <w:rPr>
        <w:noProof/>
        <w:lang w:eastAsia="es-ES"/>
      </w:rPr>
      <w:drawing>
        <wp:inline distT="0" distB="0" distL="0" distR="0">
          <wp:extent cx="952500" cy="9525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-logotipo1-tc-rgb-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6F97" w:rsidRDefault="006D6F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BB"/>
    <w:multiLevelType w:val="hybridMultilevel"/>
    <w:tmpl w:val="BF92D1D8"/>
    <w:lvl w:ilvl="0" w:tplc="ED4AD2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B2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03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4BB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83B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24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6B3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27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AE1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7320B"/>
    <w:multiLevelType w:val="hybridMultilevel"/>
    <w:tmpl w:val="10109740"/>
    <w:lvl w:ilvl="0" w:tplc="F544E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04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0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E4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E6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C2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E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6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C7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185B8B"/>
    <w:multiLevelType w:val="hybridMultilevel"/>
    <w:tmpl w:val="3DFA04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95EEF"/>
    <w:multiLevelType w:val="hybridMultilevel"/>
    <w:tmpl w:val="D6064EC6"/>
    <w:lvl w:ilvl="0" w:tplc="E1A876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90"/>
    <w:rsid w:val="00010B6F"/>
    <w:rsid w:val="00027249"/>
    <w:rsid w:val="00044EB3"/>
    <w:rsid w:val="000768E9"/>
    <w:rsid w:val="000B55B5"/>
    <w:rsid w:val="000C6396"/>
    <w:rsid w:val="000D12B0"/>
    <w:rsid w:val="00130374"/>
    <w:rsid w:val="00160298"/>
    <w:rsid w:val="00171622"/>
    <w:rsid w:val="00173621"/>
    <w:rsid w:val="001C2014"/>
    <w:rsid w:val="001D2903"/>
    <w:rsid w:val="00205A91"/>
    <w:rsid w:val="00212226"/>
    <w:rsid w:val="00213628"/>
    <w:rsid w:val="00272E55"/>
    <w:rsid w:val="00280DF1"/>
    <w:rsid w:val="002939E4"/>
    <w:rsid w:val="002A7CF3"/>
    <w:rsid w:val="002B0C6D"/>
    <w:rsid w:val="002B1BA5"/>
    <w:rsid w:val="002F0232"/>
    <w:rsid w:val="00321CDB"/>
    <w:rsid w:val="0032526B"/>
    <w:rsid w:val="00373C69"/>
    <w:rsid w:val="00375C1A"/>
    <w:rsid w:val="00395444"/>
    <w:rsid w:val="003A3651"/>
    <w:rsid w:val="004156F4"/>
    <w:rsid w:val="00433258"/>
    <w:rsid w:val="00461E3E"/>
    <w:rsid w:val="00463C66"/>
    <w:rsid w:val="004965BD"/>
    <w:rsid w:val="00506256"/>
    <w:rsid w:val="00584242"/>
    <w:rsid w:val="005A33F4"/>
    <w:rsid w:val="005F272A"/>
    <w:rsid w:val="006043BC"/>
    <w:rsid w:val="00607C5A"/>
    <w:rsid w:val="0061061F"/>
    <w:rsid w:val="006131C5"/>
    <w:rsid w:val="00613F12"/>
    <w:rsid w:val="00625DF3"/>
    <w:rsid w:val="006662AD"/>
    <w:rsid w:val="006C592C"/>
    <w:rsid w:val="006D6F97"/>
    <w:rsid w:val="006F1D6C"/>
    <w:rsid w:val="00711A95"/>
    <w:rsid w:val="00745044"/>
    <w:rsid w:val="007958CB"/>
    <w:rsid w:val="007B7018"/>
    <w:rsid w:val="007E0D13"/>
    <w:rsid w:val="007E0EA5"/>
    <w:rsid w:val="00843C47"/>
    <w:rsid w:val="00855FF7"/>
    <w:rsid w:val="008B650A"/>
    <w:rsid w:val="008C56A6"/>
    <w:rsid w:val="008D759B"/>
    <w:rsid w:val="00913DD4"/>
    <w:rsid w:val="0092373F"/>
    <w:rsid w:val="00940745"/>
    <w:rsid w:val="0095485D"/>
    <w:rsid w:val="00965582"/>
    <w:rsid w:val="009D6F69"/>
    <w:rsid w:val="00A06E50"/>
    <w:rsid w:val="00A74B7D"/>
    <w:rsid w:val="00A86CCE"/>
    <w:rsid w:val="00AE2C90"/>
    <w:rsid w:val="00AF1E12"/>
    <w:rsid w:val="00B20EE5"/>
    <w:rsid w:val="00B35C0A"/>
    <w:rsid w:val="00B54BC7"/>
    <w:rsid w:val="00BE1BCA"/>
    <w:rsid w:val="00C21353"/>
    <w:rsid w:val="00C44DDB"/>
    <w:rsid w:val="00C91F00"/>
    <w:rsid w:val="00CA791B"/>
    <w:rsid w:val="00D16D9B"/>
    <w:rsid w:val="00D33F0C"/>
    <w:rsid w:val="00D351C5"/>
    <w:rsid w:val="00D427D8"/>
    <w:rsid w:val="00D506ED"/>
    <w:rsid w:val="00D748B4"/>
    <w:rsid w:val="00D97E64"/>
    <w:rsid w:val="00DB1281"/>
    <w:rsid w:val="00DB3E1A"/>
    <w:rsid w:val="00DE39B4"/>
    <w:rsid w:val="00E433A4"/>
    <w:rsid w:val="00E67735"/>
    <w:rsid w:val="00E77A32"/>
    <w:rsid w:val="00F36D56"/>
    <w:rsid w:val="00F8411F"/>
    <w:rsid w:val="00FB1986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5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0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37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20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B20E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B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6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F97"/>
  </w:style>
  <w:style w:type="paragraph" w:styleId="Piedepgina">
    <w:name w:val="footer"/>
    <w:basedOn w:val="Normal"/>
    <w:link w:val="PiedepginaCar"/>
    <w:uiPriority w:val="99"/>
    <w:unhideWhenUsed/>
    <w:rsid w:val="006D6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97"/>
  </w:style>
  <w:style w:type="paragraph" w:customStyle="1" w:styleId="m-2403672933036246898gmail-m4226664672438424873gmail-m-4061334535653561283m-2709443667101565240m-1273591249857357142gmail-msolistparagraph">
    <w:name w:val="m_-2403672933036246898gmail-m_4226664672438424873gmail-m_-4061334535653561283m_-2709443667101565240m_-1273591249857357142gmail-msolistparagraph"/>
    <w:basedOn w:val="Normal"/>
    <w:rsid w:val="0029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6C592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C592C"/>
  </w:style>
  <w:style w:type="character" w:customStyle="1" w:styleId="Ttulo2Car">
    <w:name w:val="Título 2 Car"/>
    <w:basedOn w:val="Fuentedeprrafopredeter"/>
    <w:link w:val="Ttulo2"/>
    <w:uiPriority w:val="9"/>
    <w:semiHidden/>
    <w:rsid w:val="008D75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D759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D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373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rafo">
    <w:name w:val="parrafo"/>
    <w:basedOn w:val="Normal"/>
    <w:rsid w:val="00D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5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0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37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20E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B20E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B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6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F97"/>
  </w:style>
  <w:style w:type="paragraph" w:styleId="Piedepgina">
    <w:name w:val="footer"/>
    <w:basedOn w:val="Normal"/>
    <w:link w:val="PiedepginaCar"/>
    <w:uiPriority w:val="99"/>
    <w:unhideWhenUsed/>
    <w:rsid w:val="006D6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97"/>
  </w:style>
  <w:style w:type="paragraph" w:customStyle="1" w:styleId="m-2403672933036246898gmail-m4226664672438424873gmail-m-4061334535653561283m-2709443667101565240m-1273591249857357142gmail-msolistparagraph">
    <w:name w:val="m_-2403672933036246898gmail-m_4226664672438424873gmail-m_-4061334535653561283m_-2709443667101565240m_-1273591249857357142gmail-msolistparagraph"/>
    <w:basedOn w:val="Normal"/>
    <w:rsid w:val="0029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6C592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C592C"/>
  </w:style>
  <w:style w:type="character" w:customStyle="1" w:styleId="Ttulo2Car">
    <w:name w:val="Título 2 Car"/>
    <w:basedOn w:val="Fuentedeprrafopredeter"/>
    <w:link w:val="Ttulo2"/>
    <w:uiPriority w:val="9"/>
    <w:semiHidden/>
    <w:rsid w:val="008D75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D759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D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373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rafo">
    <w:name w:val="parrafo"/>
    <w:basedOn w:val="Normal"/>
    <w:rsid w:val="00D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Cesce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CE561</dc:creator>
  <cp:lastModifiedBy>anam.ruiz</cp:lastModifiedBy>
  <cp:revision>2</cp:revision>
  <cp:lastPrinted>2016-10-19T16:21:00Z</cp:lastPrinted>
  <dcterms:created xsi:type="dcterms:W3CDTF">2020-09-18T07:41:00Z</dcterms:created>
  <dcterms:modified xsi:type="dcterms:W3CDTF">2020-09-18T07:41:00Z</dcterms:modified>
</cp:coreProperties>
</file>