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-63500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D51A1" w:rsidRDefault="003D51A1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</w:p>
                            </w:sdtContent>
                          </w:sdt>
                          <w:p w:rsidR="003D51A1" w:rsidRPr="007F1D56" w:rsidRDefault="003D51A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AEPD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Qna6K9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3D51A1" w:rsidRDefault="003D51A1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</w:p>
                      </w:sdtContent>
                    </w:sdt>
                    <w:p w:rsidR="003D51A1" w:rsidRPr="007F1D56" w:rsidRDefault="003D51A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la</w:t>
                      </w:r>
                      <w:proofErr w:type="gramEnd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AEPD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D51A1" w:rsidRDefault="003D51A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02953" w:rsidRDefault="00C0295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024A9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43294" w:rsidRPr="007942B7" w:rsidTr="006D4C90">
        <w:tc>
          <w:tcPr>
            <w:tcW w:w="2093" w:type="dxa"/>
            <w:vMerge w:val="restart"/>
            <w:vAlign w:val="center"/>
          </w:tcPr>
          <w:p w:rsidR="00243294" w:rsidRPr="007942B7" w:rsidRDefault="00243294" w:rsidP="006D4C9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</w:tcPr>
          <w:p w:rsidR="00243294" w:rsidRPr="007942B7" w:rsidRDefault="00243294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43294" w:rsidRPr="007942B7" w:rsidRDefault="00243294" w:rsidP="007942B7">
            <w:pPr>
              <w:rPr>
                <w:sz w:val="20"/>
                <w:szCs w:val="20"/>
              </w:rPr>
            </w:pPr>
          </w:p>
        </w:tc>
      </w:tr>
      <w:tr w:rsidR="00243294" w:rsidRPr="007942B7" w:rsidTr="001C7D84">
        <w:tc>
          <w:tcPr>
            <w:tcW w:w="2093" w:type="dxa"/>
            <w:vMerge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43294" w:rsidRPr="007942B7" w:rsidRDefault="00243294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</w:tcPr>
          <w:p w:rsidR="00243294" w:rsidRPr="007942B7" w:rsidRDefault="006053C9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43294" w:rsidRPr="007942B7" w:rsidRDefault="00A1361E" w:rsidP="00605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C48D5" w:rsidRPr="007942B7" w:rsidTr="006D4C90">
        <w:tc>
          <w:tcPr>
            <w:tcW w:w="2093" w:type="dxa"/>
            <w:vMerge w:val="restart"/>
            <w:vAlign w:val="center"/>
          </w:tcPr>
          <w:p w:rsidR="00DC48D5" w:rsidRPr="00C3228C" w:rsidRDefault="00DC48D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DC48D5" w:rsidRDefault="00DC48D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Reubicación del enlace normativa del bloque información de relevancia jurídica</w:t>
            </w:r>
          </w:p>
        </w:tc>
        <w:tc>
          <w:tcPr>
            <w:tcW w:w="567" w:type="dxa"/>
          </w:tcPr>
          <w:p w:rsidR="00DC48D5" w:rsidRDefault="00DC48D5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C48D5" w:rsidRPr="007942B7" w:rsidTr="001C7D84">
        <w:tc>
          <w:tcPr>
            <w:tcW w:w="2093" w:type="dxa"/>
            <w:vMerge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8D5" w:rsidRPr="007942B7" w:rsidRDefault="00DC48D5" w:rsidP="00B92486">
            <w:pPr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 xml:space="preserve">Información sobre </w:t>
            </w:r>
            <w:r>
              <w:rPr>
                <w:sz w:val="20"/>
                <w:szCs w:val="20"/>
              </w:rPr>
              <w:t>subvenciones otorgadas por la AEPD o en su caso, indicación expresa de la falta de actividad</w:t>
            </w:r>
          </w:p>
        </w:tc>
        <w:tc>
          <w:tcPr>
            <w:tcW w:w="567" w:type="dxa"/>
          </w:tcPr>
          <w:p w:rsidR="00DC48D5" w:rsidRPr="007942B7" w:rsidRDefault="00DC48D5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C48D5" w:rsidRPr="007942B7" w:rsidTr="001C7D84">
        <w:tc>
          <w:tcPr>
            <w:tcW w:w="2093" w:type="dxa"/>
            <w:vMerge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la información incluida en el enlace Retribuciones y compatibilidades del personal.</w:t>
            </w:r>
          </w:p>
        </w:tc>
        <w:tc>
          <w:tcPr>
            <w:tcW w:w="567" w:type="dxa"/>
          </w:tcPr>
          <w:p w:rsidR="00DC48D5" w:rsidRPr="007942B7" w:rsidRDefault="00DC48D5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C48D5" w:rsidRPr="007942B7" w:rsidTr="001C7D84">
        <w:tc>
          <w:tcPr>
            <w:tcW w:w="2093" w:type="dxa"/>
            <w:vMerge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8D5" w:rsidRPr="007942B7" w:rsidRDefault="00DC48D5" w:rsidP="00E5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Reubicación de la información relativa al Inventario de Actividades de Tratamiento</w:t>
            </w:r>
          </w:p>
        </w:tc>
        <w:tc>
          <w:tcPr>
            <w:tcW w:w="567" w:type="dxa"/>
          </w:tcPr>
          <w:p w:rsidR="00DC48D5" w:rsidRPr="007942B7" w:rsidRDefault="00DC48D5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8D5" w:rsidRPr="007942B7" w:rsidRDefault="00DC48D5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C48D5" w:rsidRPr="007942B7" w:rsidTr="001C7D84">
        <w:tc>
          <w:tcPr>
            <w:tcW w:w="2093" w:type="dxa"/>
            <w:vMerge/>
          </w:tcPr>
          <w:p w:rsidR="00DC48D5" w:rsidRPr="007942B7" w:rsidRDefault="00DC48D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8D5" w:rsidRDefault="00DC48D5" w:rsidP="00E5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Bienes Patrimoniales</w:t>
            </w:r>
          </w:p>
        </w:tc>
        <w:tc>
          <w:tcPr>
            <w:tcW w:w="567" w:type="dxa"/>
          </w:tcPr>
          <w:p w:rsidR="00DC48D5" w:rsidRDefault="00DC48D5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8D5" w:rsidRDefault="007C088E" w:rsidP="00A0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se incluye referencia a</w:t>
            </w:r>
            <w:r w:rsidR="00DC48D5">
              <w:rPr>
                <w:sz w:val="20"/>
                <w:szCs w:val="20"/>
              </w:rPr>
              <w:t xml:space="preserve"> la carencia de bienes patrimoniales propios</w:t>
            </w:r>
          </w:p>
        </w:tc>
      </w:tr>
      <w:tr w:rsidR="00E5258D" w:rsidRPr="007942B7" w:rsidTr="006D4C90">
        <w:trPr>
          <w:trHeight w:val="400"/>
        </w:trPr>
        <w:tc>
          <w:tcPr>
            <w:tcW w:w="2093" w:type="dxa"/>
            <w:vMerge w:val="restart"/>
            <w:vAlign w:val="center"/>
          </w:tcPr>
          <w:p w:rsidR="00E5258D" w:rsidRPr="007942B7" w:rsidRDefault="00E5258D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E5258D" w:rsidRPr="007942B7" w:rsidRDefault="00E5258D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</w:tcPr>
          <w:p w:rsidR="00E5258D" w:rsidRPr="007942B7" w:rsidRDefault="00E5258D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</w:tr>
      <w:tr w:rsidR="00E5258D" w:rsidRPr="007942B7" w:rsidTr="001C7D84">
        <w:tc>
          <w:tcPr>
            <w:tcW w:w="2093" w:type="dxa"/>
            <w:vMerge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</w:tcPr>
          <w:p w:rsidR="00E5258D" w:rsidRPr="007942B7" w:rsidRDefault="00E5258D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</w:tr>
      <w:tr w:rsidR="00E5258D" w:rsidRPr="007942B7" w:rsidTr="00E5258D">
        <w:tc>
          <w:tcPr>
            <w:tcW w:w="2093" w:type="dxa"/>
            <w:vMerge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258D" w:rsidRPr="007942B7" w:rsidRDefault="00E5258D" w:rsidP="00104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</w:tr>
      <w:tr w:rsidR="00E5258D" w:rsidRPr="007942B7" w:rsidTr="00E5258D">
        <w:trPr>
          <w:trHeight w:val="434"/>
        </w:trPr>
        <w:tc>
          <w:tcPr>
            <w:tcW w:w="2093" w:type="dxa"/>
            <w:vMerge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258D" w:rsidRPr="007942B7" w:rsidRDefault="00E5258D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5258D" w:rsidRPr="007942B7" w:rsidRDefault="00E5258D" w:rsidP="00E5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para las informaciones que se habían indicado</w:t>
            </w:r>
          </w:p>
        </w:tc>
      </w:tr>
      <w:tr w:rsidR="00E5258D" w:rsidRPr="007942B7" w:rsidTr="00E5258D">
        <w:tc>
          <w:tcPr>
            <w:tcW w:w="2093" w:type="dxa"/>
            <w:vMerge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258D" w:rsidRPr="007942B7" w:rsidRDefault="00E5258D" w:rsidP="00104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E5258D" w:rsidRPr="007942B7" w:rsidRDefault="00E5258D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referencia en cada página del portal a la fecha de actualización</w:t>
            </w:r>
          </w:p>
        </w:tc>
      </w:tr>
      <w:tr w:rsidR="001C7D84" w:rsidRPr="001C7D84" w:rsidTr="001C7D84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</w:tcPr>
          <w:p w:rsidR="001C7D84" w:rsidRPr="001C7D84" w:rsidRDefault="00F42DF9" w:rsidP="00072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3A1694" w:rsidRPr="00C005F5" w:rsidRDefault="001C7D84" w:rsidP="00BA14E6">
      <w:pPr>
        <w:spacing w:line="276" w:lineRule="auto"/>
        <w:jc w:val="both"/>
      </w:pPr>
      <w:r w:rsidRPr="00C005F5">
        <w:t xml:space="preserve">De las </w:t>
      </w:r>
      <w:r w:rsidR="00F42DF9">
        <w:t>ocho</w:t>
      </w:r>
      <w:r w:rsidRPr="00C005F5">
        <w:t xml:space="preserve"> recomendaciones efectuadas se han aplicado </w:t>
      </w:r>
      <w:r w:rsidR="00C005F5">
        <w:t>tres</w:t>
      </w:r>
      <w:r w:rsidRPr="00C005F5">
        <w:t xml:space="preserve">, lo que supone un </w:t>
      </w:r>
      <w:r w:rsidR="006700AD">
        <w:t>37,5%</w:t>
      </w:r>
      <w:r w:rsidRPr="00C005F5">
        <w:t xml:space="preserve"> del total.</w:t>
      </w:r>
    </w:p>
    <w:p w:rsidR="001C7D84" w:rsidRPr="00C005F5" w:rsidRDefault="001C7D84" w:rsidP="001C7D84">
      <w:pPr>
        <w:jc w:val="both"/>
      </w:pPr>
    </w:p>
    <w:p w:rsidR="001C7D84" w:rsidRDefault="001C7D84" w:rsidP="00BA14E6">
      <w:pPr>
        <w:spacing w:line="276" w:lineRule="auto"/>
        <w:jc w:val="both"/>
      </w:pPr>
      <w:r w:rsidRPr="00C005F5">
        <w:t xml:space="preserve">Es especialmente reseñable la incorporación </w:t>
      </w:r>
      <w:r w:rsidR="00C005F5">
        <w:t>de referencias a la fecha de actualización de la información contenida en las distintas páginas que integran el Portal de Transparencia de la AEPD</w:t>
      </w:r>
      <w:r w:rsidRPr="00C005F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EF3CA7" wp14:editId="03F6A7A4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3F6EDC" w:rsidRPr="002D27E4" w:rsidRDefault="00DC48D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56B021" wp14:editId="68AFA56C">
                <wp:simplePos x="0" y="0"/>
                <wp:positionH relativeFrom="page">
                  <wp:posOffset>-28575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D51A1" w:rsidRPr="00F31BC3" w:rsidRDefault="003D51A1" w:rsidP="00DC48D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07069F0" wp14:editId="039D0338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2.25pt;margin-top:.5pt;width:630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J5Dg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" fillcolor="#50866c" stroked="f">
                <v:textbox inset=",7.2pt,,7.2pt">
                  <w:txbxContent>
                    <w:p w:rsidR="00DC48D5" w:rsidRPr="00F31BC3" w:rsidRDefault="00DC48D5" w:rsidP="00DC48D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7069F0" wp14:editId="039D0338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FA5AFD" w:rsidRPr="006D4C90" w:rsidTr="00FA5AFD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FA5AFD" w:rsidRPr="006D4C90" w:rsidTr="00CC48E8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FA5AFD" w:rsidRPr="006D4C90" w:rsidRDefault="00FA5AFD" w:rsidP="00104DE9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A5AFD" w:rsidRPr="006D4C90" w:rsidTr="00CC48E8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INSTITUCIONAL, ORGANIZATIVA Y DE PLANIFICACIÓN</w:t>
            </w:r>
          </w:p>
        </w:tc>
      </w:tr>
      <w:tr w:rsidR="006D4C90" w:rsidRPr="006D4C90" w:rsidTr="00CC48E8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42DF9">
              <w:rPr>
                <w:sz w:val="18"/>
                <w:szCs w:val="18"/>
              </w:rPr>
              <w:t>,</w:t>
            </w:r>
            <w:r w:rsidR="006D4C90" w:rsidRPr="006D4C90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D4C90" w:rsidRPr="006D4C90">
              <w:rPr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D87E9F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8</w:t>
            </w:r>
            <w:r w:rsidR="00D87E9F">
              <w:rPr>
                <w:sz w:val="18"/>
                <w:szCs w:val="18"/>
              </w:rPr>
              <w:t>9</w:t>
            </w:r>
            <w:r w:rsidRPr="006D4C90">
              <w:rPr>
                <w:sz w:val="18"/>
                <w:szCs w:val="18"/>
              </w:rPr>
              <w:t>,</w:t>
            </w:r>
            <w:r w:rsidR="00D87E9F">
              <w:rPr>
                <w:sz w:val="18"/>
                <w:szCs w:val="18"/>
              </w:rPr>
              <w:t>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Planificación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Registro de Actividades de Tratamiento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B87734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B87734">
              <w:rPr>
                <w:sz w:val="18"/>
                <w:szCs w:val="18"/>
              </w:rPr>
              <w:t>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D87E9F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50</w:t>
            </w:r>
            <w:r w:rsidR="006D4C90" w:rsidRPr="006D4C90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D87E9F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</w:t>
            </w:r>
            <w:r w:rsidR="00B87734">
              <w:rPr>
                <w:b/>
                <w:color w:val="FFFFFF" w:themeColor="background1"/>
                <w:sz w:val="18"/>
                <w:szCs w:val="18"/>
              </w:rPr>
              <w:t>0</w:t>
            </w:r>
            <w:r w:rsidR="006D4C90" w:rsidRPr="006D4C90"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B87734" w:rsidP="00D87E9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="00D87E9F">
              <w:rPr>
                <w:b/>
                <w:color w:val="FFFFFF" w:themeColor="background1"/>
                <w:sz w:val="18"/>
                <w:szCs w:val="18"/>
              </w:rPr>
              <w:t>3</w:t>
            </w:r>
            <w:r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FA5AFD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INFORMACIÓN DE RELEVANCIA JURÍDICA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CC48E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FA5AFD" w:rsidRPr="006D4C90" w:rsidRDefault="00FA5AFD" w:rsidP="00BA361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IRJ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D87E9F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</w:t>
            </w:r>
            <w:r w:rsidR="006D4C90"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6D4C90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6D4C90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D87E9F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</w:t>
            </w:r>
            <w:r w:rsidR="006D4C90" w:rsidRPr="006D4C90">
              <w:rPr>
                <w:b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6D4C90" w:rsidRPr="006D4C90" w:rsidRDefault="00D87E9F" w:rsidP="00D87E9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</w:tr>
      <w:tr w:rsidR="00CC48E8" w:rsidRPr="006D4C90" w:rsidTr="00CC48E8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CC48E8" w:rsidRPr="006D4C90" w:rsidRDefault="00CC48E8" w:rsidP="00BA3611">
            <w:pPr>
              <w:rPr>
                <w:b/>
                <w:sz w:val="18"/>
                <w:szCs w:val="18"/>
              </w:rPr>
            </w:pPr>
            <w:r w:rsidRPr="006D4C90">
              <w:rPr>
                <w:rFonts w:eastAsia="Times New Roman" w:cs="Arial"/>
                <w:b/>
                <w:sz w:val="18"/>
                <w:szCs w:val="18"/>
                <w:lang w:eastAsia="es-ES"/>
              </w:rPr>
              <w:t>INFORMACIÓN ECONÓMICA, PRESUPUESTARIA Y ESTADÍSTICA</w:t>
            </w:r>
          </w:p>
        </w:tc>
      </w:tr>
      <w:tr w:rsidR="006D4C90" w:rsidRPr="006D4C90" w:rsidTr="00D87E9F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bookmarkStart w:id="1" w:name="RANGE!C12"/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  <w:bookmarkEnd w:id="1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D87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6D4C90" w:rsidRPr="006D4C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66,7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6D4C90" w:rsidRPr="006D4C90" w:rsidTr="00D87E9F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D87E9F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Encomiendas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</w:tr>
      <w:tr w:rsidR="00D87E9F" w:rsidRPr="006D4C90" w:rsidTr="00D87E9F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6D4C90" w:rsidRDefault="00D87E9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6D4C90" w:rsidRDefault="00031B38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7E9F"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Cuentas anuales e Informes de Auditoría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6D4C90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Retribuciones e Indemnizaciones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D4C90" w:rsidRPr="006D4C90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9F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6D4C90" w:rsidRDefault="00D87E9F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Compatibilidades empleados y autorizaciones actividad privada Altos Cargos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6D4C90" w:rsidRDefault="00D87E9F" w:rsidP="008A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D87E9F" w:rsidRPr="00D87E9F" w:rsidRDefault="00D87E9F" w:rsidP="00D87E9F">
            <w:pPr>
              <w:jc w:val="right"/>
              <w:rPr>
                <w:sz w:val="18"/>
                <w:szCs w:val="18"/>
              </w:rPr>
            </w:pPr>
            <w:r w:rsidRPr="00D87E9F">
              <w:rPr>
                <w:sz w:val="18"/>
                <w:szCs w:val="18"/>
              </w:rPr>
              <w:t>0,0</w:t>
            </w:r>
          </w:p>
        </w:tc>
      </w:tr>
      <w:tr w:rsidR="006D4C90" w:rsidRPr="006D4C90" w:rsidTr="00BA3611">
        <w:trPr>
          <w:trHeight w:val="26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CC48E8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Información Estadística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6D4C90" w:rsidRPr="006D4C90" w:rsidRDefault="006D4C90" w:rsidP="008A5AAE">
            <w:pPr>
              <w:jc w:val="right"/>
              <w:rPr>
                <w:sz w:val="18"/>
                <w:szCs w:val="18"/>
              </w:rPr>
            </w:pPr>
            <w:r w:rsidRPr="006D4C90">
              <w:rPr>
                <w:sz w:val="18"/>
                <w:szCs w:val="18"/>
              </w:rPr>
              <w:t>100,0</w:t>
            </w:r>
          </w:p>
        </w:tc>
      </w:tr>
      <w:tr w:rsidR="00267896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67896" w:rsidRPr="006D4C90" w:rsidRDefault="00267896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267896" w:rsidRPr="006D4C90" w:rsidRDefault="00267896" w:rsidP="00031B38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="00031B38">
              <w:rPr>
                <w:b/>
                <w:color w:val="FFFFFF" w:themeColor="background1"/>
                <w:sz w:val="18"/>
                <w:szCs w:val="18"/>
              </w:rPr>
              <w:t>9</w:t>
            </w:r>
            <w:r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6D4C90" w:rsidRDefault="00267896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452F85" w:rsidRDefault="00267896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452F85" w:rsidRDefault="00267896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452F85" w:rsidRDefault="00267896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452F85" w:rsidRDefault="00267896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80,0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6D4C90" w:rsidRDefault="00452F85" w:rsidP="008A5AAE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87,0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267896" w:rsidRPr="006D4C90" w:rsidRDefault="00452F85" w:rsidP="00F42DF9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="00F42DF9">
              <w:rPr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color w:val="FFFFFF" w:themeColor="background1"/>
                <w:sz w:val="18"/>
                <w:szCs w:val="18"/>
              </w:rPr>
              <w:t>,0</w:t>
            </w:r>
          </w:p>
        </w:tc>
      </w:tr>
      <w:tr w:rsidR="00FA5AFD" w:rsidRPr="006D4C90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FA5AF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INFORMACIÓN PATRIMONIAL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</w:tcPr>
          <w:p w:rsidR="00FA5AFD" w:rsidRPr="006D4C90" w:rsidRDefault="00FA5AFD" w:rsidP="00DF555F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52F85" w:rsidRPr="00452F85" w:rsidTr="00FA5AFD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52F85" w:rsidRPr="006D4C90" w:rsidRDefault="00452F85" w:rsidP="00FA5AFD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452F85" w:rsidRPr="00452F85" w:rsidRDefault="00452F85" w:rsidP="00452F85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52F85">
              <w:rPr>
                <w:b/>
                <w:color w:val="FFFFFF" w:themeColor="background1"/>
                <w:sz w:val="18"/>
                <w:szCs w:val="18"/>
              </w:rPr>
              <w:t>100,0</w:t>
            </w:r>
          </w:p>
        </w:tc>
      </w:tr>
      <w:tr w:rsidR="00FA5AFD" w:rsidRPr="006D4C90" w:rsidTr="00FA5AFD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FA5AFD" w:rsidRPr="006D4C90" w:rsidRDefault="00FA5AFD" w:rsidP="00FA5AFD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</w:t>
            </w:r>
            <w:r w:rsidR="00CC48E8"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FA5AFD" w:rsidRPr="006D4C90" w:rsidRDefault="00F42DF9" w:rsidP="00BA3611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87</w:t>
            </w:r>
            <w:r w:rsidR="00B87734">
              <w:rPr>
                <w:rFonts w:eastAsia="Times New Roman" w:cs="Arial"/>
                <w:b/>
                <w:sz w:val="18"/>
                <w:szCs w:val="18"/>
                <w:lang w:eastAsia="es-ES"/>
              </w:rPr>
              <w:t>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F6EDC" w:rsidRDefault="005C4778" w:rsidP="00BA14E6">
      <w:pPr>
        <w:pStyle w:val="Cuerpodelboletn"/>
        <w:spacing w:line="276" w:lineRule="auto"/>
      </w:pPr>
      <w:r>
        <w:t xml:space="preserve">Una vez efectuada la revisión de la información sujeta a obligaciones de publicidad activa se ha constatado un </w:t>
      </w:r>
      <w:r w:rsidR="00E106B1">
        <w:t>decremento</w:t>
      </w:r>
      <w:r>
        <w:t xml:space="preserve"> del </w:t>
      </w:r>
      <w:r w:rsidR="00E73F4D">
        <w:t>Índice de C</w:t>
      </w:r>
      <w:r>
        <w:t xml:space="preserve">umplimiento </w:t>
      </w:r>
      <w:r w:rsidR="00E73F4D">
        <w:t xml:space="preserve">de la Información Obligatoria </w:t>
      </w:r>
      <w:r w:rsidR="00BA14E6">
        <w:t xml:space="preserve">(ICIO) </w:t>
      </w:r>
      <w:r w:rsidR="00E73F4D">
        <w:t xml:space="preserve">en </w:t>
      </w:r>
      <w:r w:rsidR="00E106B1">
        <w:t>4,90 puntos porcentuales</w:t>
      </w:r>
      <w:r w:rsidR="00E73F4D">
        <w:t xml:space="preserve">. </w:t>
      </w:r>
      <w:r w:rsidR="00BA14E6">
        <w:t>El ICIO de</w:t>
      </w:r>
      <w:r w:rsidR="00E73F4D">
        <w:t xml:space="preserve"> la </w:t>
      </w:r>
      <w:r w:rsidR="00E106B1">
        <w:t>AEPD</w:t>
      </w:r>
      <w:r w:rsidR="00E73F4D">
        <w:t xml:space="preserve"> ha pasado de </w:t>
      </w:r>
      <w:r w:rsidR="00BA14E6">
        <w:t xml:space="preserve">un </w:t>
      </w:r>
      <w:r w:rsidR="00E106B1">
        <w:t>91,9</w:t>
      </w:r>
      <w:r w:rsidR="00BA14E6">
        <w:t xml:space="preserve">% (equivalente a una puntuación de </w:t>
      </w:r>
      <w:r w:rsidR="00E106B1">
        <w:t>9,19</w:t>
      </w:r>
      <w:r w:rsidR="00BA14E6">
        <w:t xml:space="preserve"> puntos sobre 10) a un </w:t>
      </w:r>
      <w:r w:rsidR="00E106B1">
        <w:t>87</w:t>
      </w:r>
      <w:r w:rsidR="00BA14E6">
        <w:t xml:space="preserve">% (equivalente a </w:t>
      </w:r>
      <w:r w:rsidR="00B87734">
        <w:t>8,</w:t>
      </w:r>
      <w:r w:rsidR="00E106B1">
        <w:t>7</w:t>
      </w:r>
      <w:r w:rsidR="00B87734">
        <w:t>0</w:t>
      </w:r>
      <w:r w:rsidR="00BA14E6">
        <w:t xml:space="preserve">), lo que puede considerarse un nivel de cumplimiento </w:t>
      </w:r>
      <w:r w:rsidR="00B87734">
        <w:t xml:space="preserve">muy </w:t>
      </w:r>
      <w:r w:rsidR="00F614CD">
        <w:t>elevado</w:t>
      </w:r>
      <w:r w:rsidR="00BA14E6">
        <w:t>.</w:t>
      </w:r>
      <w:r w:rsidR="00E106B1">
        <w:t xml:space="preserve"> Esta disminución en el ICIO se debe básicamente a que en la revisión efectuada se ha constatado que no se publican los datos estadísticos </w:t>
      </w:r>
      <w:r w:rsidR="00E106B1" w:rsidRPr="00E106B1">
        <w:t xml:space="preserve">sobre el </w:t>
      </w:r>
      <w:r w:rsidR="00E106B1" w:rsidRPr="00E106B1">
        <w:lastRenderedPageBreak/>
        <w:t>porcentaje en volumen presupuestario de contratos adjudicados a través de cada uno de los procedimientos previstos.</w:t>
      </w:r>
    </w:p>
    <w:p w:rsidR="00714C54" w:rsidRDefault="00DC48D5" w:rsidP="00F05E2C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5896F7" wp14:editId="0DA44458">
                <wp:simplePos x="0" y="0"/>
                <wp:positionH relativeFrom="page">
                  <wp:posOffset>-95250</wp:posOffset>
                </wp:positionH>
                <wp:positionV relativeFrom="page">
                  <wp:posOffset>1012190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7.5pt;margin-top:79.7pt;width:630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56FC9A" wp14:editId="40257E94">
                <wp:simplePos x="0" y="0"/>
                <wp:positionH relativeFrom="page">
                  <wp:posOffset>-19050</wp:posOffset>
                </wp:positionH>
                <wp:positionV relativeFrom="page">
                  <wp:posOffset>15875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D51A1" w:rsidRPr="00F31BC3" w:rsidRDefault="003D51A1" w:rsidP="00DC48D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3B79E1" wp14:editId="12BFAA1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.5pt;margin-top:1.2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q4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" fillcolor="#50866c" stroked="f">
                <v:textbox inset=",7.2pt,,7.2pt">
                  <w:txbxContent>
                    <w:p w:rsidR="00DC48D5" w:rsidRPr="00F31BC3" w:rsidRDefault="00DC48D5" w:rsidP="00DC48D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3B79E1" wp14:editId="12BFAA1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307893759"/>
        <w:placeholder>
          <w:docPart w:val="4041ECFB4E934057B7EF021C0F3E2D14"/>
        </w:placeholder>
      </w:sdtPr>
      <w:sdtEndPr/>
      <w:sdtContent>
        <w:p w:rsidR="004720A5" w:rsidRPr="002D27E4" w:rsidRDefault="009D4047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>Buenas Prácticas</w:t>
          </w:r>
        </w:p>
      </w:sdtContent>
    </w:sdt>
    <w:p w:rsidR="009E7254" w:rsidRDefault="009E7254" w:rsidP="00965C69">
      <w:pPr>
        <w:pStyle w:val="Cuerpodelboletn"/>
      </w:pPr>
    </w:p>
    <w:p w:rsidR="00BA14E6" w:rsidRDefault="00BA14E6" w:rsidP="006D4C90">
      <w:pPr>
        <w:pStyle w:val="Cuerpodelboletn"/>
        <w:spacing w:line="276" w:lineRule="auto"/>
      </w:pPr>
      <w:r>
        <w:t xml:space="preserve">Como buenas prácticas incorporadas por la </w:t>
      </w:r>
      <w:r w:rsidR="00E106B1">
        <w:t>AEPD</w:t>
      </w:r>
      <w:r>
        <w:t xml:space="preserve"> en relación con la publicación de información sujeta a obligaciones de publicidad activa, puede </w:t>
      </w:r>
      <w:r w:rsidR="006D4C90">
        <w:t xml:space="preserve">reseñarse la inclusión </w:t>
      </w:r>
      <w:r w:rsidR="00244EDA">
        <w:t xml:space="preserve">de textos </w:t>
      </w:r>
      <w:r w:rsidR="00E106B1">
        <w:t>explicativos de los contenidos de los apartados del Portal de Transparencia</w:t>
      </w:r>
      <w:r w:rsidR="00F614CD">
        <w:t>.</w:t>
      </w:r>
      <w:r w:rsidR="00244EDA">
        <w:t xml:space="preserve"> </w:t>
      </w: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02953" w:rsidRDefault="005C4778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C02953">
        <w:rPr>
          <w:rFonts w:ascii="Century Gothic" w:hAnsi="Century Gothic"/>
        </w:rPr>
        <w:lastRenderedPageBreak/>
        <w:t xml:space="preserve">Este CTBG valora </w:t>
      </w:r>
      <w:r w:rsidR="00C02953">
        <w:rPr>
          <w:rFonts w:ascii="Century Gothic" w:hAnsi="Century Gothic"/>
        </w:rPr>
        <w:t xml:space="preserve">muy </w:t>
      </w:r>
      <w:r w:rsidRPr="00C02953">
        <w:rPr>
          <w:rFonts w:ascii="Century Gothic" w:hAnsi="Century Gothic"/>
        </w:rPr>
        <w:t xml:space="preserve">positivamente el esfuerzo realizado por la </w:t>
      </w:r>
      <w:r w:rsidR="00E106B1">
        <w:rPr>
          <w:rFonts w:ascii="Century Gothic" w:hAnsi="Century Gothic"/>
        </w:rPr>
        <w:t>AEPD</w:t>
      </w:r>
      <w:r w:rsidRPr="00C02953">
        <w:rPr>
          <w:rFonts w:ascii="Century Gothic" w:hAnsi="Century Gothic"/>
        </w:rPr>
        <w:t xml:space="preserve"> para aplicar las recomendaciones efectuadas en la evaluación realizada en 2019.</w:t>
      </w:r>
      <w:r w:rsidR="00F614CD">
        <w:rPr>
          <w:rFonts w:ascii="Century Gothic" w:hAnsi="Century Gothic"/>
        </w:rPr>
        <w:t xml:space="preserve"> Se ha</w:t>
      </w:r>
      <w:r w:rsidR="00C02953">
        <w:rPr>
          <w:rFonts w:ascii="Century Gothic" w:hAnsi="Century Gothic"/>
        </w:rPr>
        <w:t xml:space="preserve"> aplicado </w:t>
      </w:r>
      <w:r w:rsidR="007A584D">
        <w:rPr>
          <w:rFonts w:ascii="Century Gothic" w:hAnsi="Century Gothic"/>
        </w:rPr>
        <w:t>más</w:t>
      </w:r>
      <w:r w:rsidR="00E106B1">
        <w:rPr>
          <w:rFonts w:ascii="Century Gothic" w:hAnsi="Century Gothic"/>
        </w:rPr>
        <w:t xml:space="preserve"> d</w:t>
      </w:r>
      <w:r w:rsidR="00C02953">
        <w:rPr>
          <w:rFonts w:ascii="Century Gothic" w:hAnsi="Century Gothic"/>
        </w:rPr>
        <w:t xml:space="preserve">el </w:t>
      </w:r>
      <w:r w:rsidR="00E106B1">
        <w:rPr>
          <w:rFonts w:ascii="Century Gothic" w:hAnsi="Century Gothic"/>
        </w:rPr>
        <w:t>37</w:t>
      </w:r>
      <w:r w:rsidR="00C02953">
        <w:rPr>
          <w:rFonts w:ascii="Century Gothic" w:hAnsi="Century Gothic"/>
        </w:rPr>
        <w:t xml:space="preserve">% de </w:t>
      </w:r>
      <w:r w:rsidR="00F614CD">
        <w:rPr>
          <w:rFonts w:ascii="Century Gothic" w:hAnsi="Century Gothic"/>
        </w:rPr>
        <w:t xml:space="preserve">estas </w:t>
      </w:r>
      <w:r w:rsidR="00C02953">
        <w:rPr>
          <w:rFonts w:ascii="Century Gothic" w:hAnsi="Century Gothic"/>
        </w:rPr>
        <w:t>recomendaciones.</w:t>
      </w:r>
    </w:p>
    <w:p w:rsidR="00E106B1" w:rsidRDefault="00E106B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06B1" w:rsidRDefault="00E106B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pesar de ello, se ha producido una disminución en el ICIO de la AEPD como consecuencia de la falta de publicación de contenidos obligatorios. </w:t>
      </w: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02953" w:rsidRDefault="00C02953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Como puede apreciarse en la tabla de valoración del ICIO, según bloques de información y atributos, los factores que </w:t>
      </w:r>
      <w:r w:rsidR="00AE6A4F">
        <w:rPr>
          <w:rFonts w:ascii="Century Gothic" w:hAnsi="Century Gothic"/>
        </w:rPr>
        <w:t>explican</w:t>
      </w:r>
      <w:r>
        <w:rPr>
          <w:rFonts w:ascii="Century Gothic" w:hAnsi="Century Gothic"/>
        </w:rPr>
        <w:t xml:space="preserve"> la puntuación obtenida son fundamentalmente</w:t>
      </w:r>
      <w:r w:rsidR="00E106B1">
        <w:rPr>
          <w:rFonts w:ascii="Century Gothic" w:hAnsi="Century Gothic"/>
        </w:rPr>
        <w:t xml:space="preserve">, la falta de publicación de algunos contenidos (datos estadísticos de contratos, compatibilidades de </w:t>
      </w:r>
      <w:r w:rsidR="007A584D">
        <w:rPr>
          <w:rFonts w:ascii="Century Gothic" w:hAnsi="Century Gothic"/>
        </w:rPr>
        <w:t xml:space="preserve"> </w:t>
      </w:r>
      <w:r w:rsidR="00E106B1">
        <w:rPr>
          <w:rFonts w:ascii="Century Gothic" w:hAnsi="Century Gothic"/>
        </w:rPr>
        <w:t>personal, subvenciones y ayudas públicas concedidas al margen de los premios)</w:t>
      </w:r>
      <w:r w:rsidR="007A584D">
        <w:rPr>
          <w:rFonts w:ascii="Century Gothic" w:hAnsi="Century Gothic"/>
        </w:rPr>
        <w:t xml:space="preserve"> y</w:t>
      </w:r>
      <w:r>
        <w:rPr>
          <w:rFonts w:ascii="Century Gothic" w:hAnsi="Century Gothic"/>
        </w:rPr>
        <w:t xml:space="preserve"> </w:t>
      </w:r>
      <w:r w:rsidR="007A584D">
        <w:rPr>
          <w:rFonts w:ascii="Century Gothic" w:hAnsi="Century Gothic"/>
        </w:rPr>
        <w:t>la publicación de la información, especialmente del bloque Información Institucional, Organizativa y de Planificación, en formatos no reutilizables</w:t>
      </w:r>
      <w:r>
        <w:rPr>
          <w:rFonts w:ascii="Century Gothic" w:hAnsi="Century Gothic"/>
        </w:rPr>
        <w:t xml:space="preserve">. </w:t>
      </w:r>
    </w:p>
    <w:p w:rsidR="00244EDA" w:rsidRDefault="00244ED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C48D5" w:rsidRDefault="007A58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cuestión adicional es que algunos contenidos del Bloque Información Económica, Presupuestaria y Estadística presenta</w:t>
      </w:r>
      <w:r w:rsidR="003D51A1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bastante desfase temporal. Así, los últimos presupuestos publicados son los de 2018, sin que se haga ningún tipo de referencia a la situación de prórroga de los mismos, </w:t>
      </w:r>
      <w:r w:rsidR="00D5471D">
        <w:rPr>
          <w:rFonts w:ascii="Century Gothic" w:hAnsi="Century Gothic"/>
        </w:rPr>
        <w:t>mientras que</w:t>
      </w:r>
      <w:r>
        <w:rPr>
          <w:rFonts w:ascii="Century Gothic" w:hAnsi="Century Gothic"/>
        </w:rPr>
        <w:t xml:space="preserve"> los convenios</w:t>
      </w:r>
      <w:r w:rsidR="00D5471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encomiendas y los cuadros-resumen de los contratos, cuya publicación este Consejo valora muy positivamente, corresponden a 2019.</w:t>
      </w:r>
      <w:r w:rsidR="00DC48D5">
        <w:rPr>
          <w:rFonts w:ascii="Century Gothic" w:hAnsi="Century Gothic"/>
        </w:rPr>
        <w:t xml:space="preserve"> </w:t>
      </w:r>
    </w:p>
    <w:p w:rsidR="00DC48D5" w:rsidRDefault="00DC48D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A584D" w:rsidRDefault="007A58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AE6A4F" w:rsidRDefault="00AE6A4F" w:rsidP="00024A98">
      <w:pPr>
        <w:pStyle w:val="Sinespaciado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C48D5">
        <w:rPr>
          <w:rFonts w:ascii="Century Gothic" w:hAnsi="Century Gothic"/>
        </w:rPr>
        <w:t>abril</w:t>
      </w:r>
      <w:r>
        <w:rPr>
          <w:rFonts w:ascii="Century Gothic" w:hAnsi="Century Gothic"/>
        </w:rPr>
        <w:t xml:space="preserve"> de 2020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24A98" w:rsidRDefault="00024A98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654DA" w:rsidRPr="002D27E4" w:rsidRDefault="002D27E4" w:rsidP="00024A9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D51A1" w:rsidRPr="00F31BC3" w:rsidRDefault="003D51A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Wuvn8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02953" w:rsidRPr="00F31BC3" w:rsidRDefault="00C0295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90B12A5" wp14:editId="08D6EAC2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D51A1" w:rsidRPr="00F31BC3" w:rsidRDefault="003D51A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02953" w:rsidRPr="00F31BC3" w:rsidRDefault="00C0295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30F1CBB" wp14:editId="25CE2A32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A1" w:rsidRDefault="003D51A1" w:rsidP="00F31BC3">
      <w:r>
        <w:separator/>
      </w:r>
    </w:p>
  </w:endnote>
  <w:endnote w:type="continuationSeparator" w:id="0">
    <w:p w:rsidR="003D51A1" w:rsidRDefault="003D51A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A1" w:rsidRDefault="003D51A1" w:rsidP="00F31BC3">
      <w:r>
        <w:separator/>
      </w:r>
    </w:p>
  </w:footnote>
  <w:footnote w:type="continuationSeparator" w:id="0">
    <w:p w:rsidR="003D51A1" w:rsidRDefault="003D51A1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4A98"/>
    <w:rsid w:val="00031B38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49B1"/>
    <w:rsid w:val="00132732"/>
    <w:rsid w:val="00146C3C"/>
    <w:rsid w:val="00164876"/>
    <w:rsid w:val="001763F8"/>
    <w:rsid w:val="00187CDD"/>
    <w:rsid w:val="0019448F"/>
    <w:rsid w:val="001A0DA8"/>
    <w:rsid w:val="001A5305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67896"/>
    <w:rsid w:val="002D0702"/>
    <w:rsid w:val="002D27E4"/>
    <w:rsid w:val="002E409F"/>
    <w:rsid w:val="0031769F"/>
    <w:rsid w:val="00347877"/>
    <w:rsid w:val="00355DC0"/>
    <w:rsid w:val="003A1694"/>
    <w:rsid w:val="003A390C"/>
    <w:rsid w:val="003B57E6"/>
    <w:rsid w:val="003B6B96"/>
    <w:rsid w:val="003D2C4A"/>
    <w:rsid w:val="003D51A1"/>
    <w:rsid w:val="003E564B"/>
    <w:rsid w:val="003E5D2F"/>
    <w:rsid w:val="003F6EDC"/>
    <w:rsid w:val="00415DBD"/>
    <w:rsid w:val="00422B18"/>
    <w:rsid w:val="00452F85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4778"/>
    <w:rsid w:val="005E2505"/>
    <w:rsid w:val="005E6704"/>
    <w:rsid w:val="00603DFC"/>
    <w:rsid w:val="006053C9"/>
    <w:rsid w:val="00633EAA"/>
    <w:rsid w:val="006700AD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A584D"/>
    <w:rsid w:val="007C088E"/>
    <w:rsid w:val="007D1701"/>
    <w:rsid w:val="007D5CBF"/>
    <w:rsid w:val="007F1D56"/>
    <w:rsid w:val="007F5F9D"/>
    <w:rsid w:val="00803D20"/>
    <w:rsid w:val="00821526"/>
    <w:rsid w:val="0082470D"/>
    <w:rsid w:val="00825ACB"/>
    <w:rsid w:val="00867368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24DA9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92486"/>
    <w:rsid w:val="00BA03C4"/>
    <w:rsid w:val="00BA14E6"/>
    <w:rsid w:val="00BA3611"/>
    <w:rsid w:val="00BC61D1"/>
    <w:rsid w:val="00BD18E4"/>
    <w:rsid w:val="00BD1E44"/>
    <w:rsid w:val="00BD2172"/>
    <w:rsid w:val="00BD2842"/>
    <w:rsid w:val="00C005F5"/>
    <w:rsid w:val="00C02953"/>
    <w:rsid w:val="00C12084"/>
    <w:rsid w:val="00C1290B"/>
    <w:rsid w:val="00C213EC"/>
    <w:rsid w:val="00C24010"/>
    <w:rsid w:val="00C259F4"/>
    <w:rsid w:val="00C27705"/>
    <w:rsid w:val="00C3228C"/>
    <w:rsid w:val="00C4050E"/>
    <w:rsid w:val="00C4430D"/>
    <w:rsid w:val="00C451D3"/>
    <w:rsid w:val="00C54D21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5471D"/>
    <w:rsid w:val="00D70570"/>
    <w:rsid w:val="00D87E9F"/>
    <w:rsid w:val="00D96084"/>
    <w:rsid w:val="00DA6660"/>
    <w:rsid w:val="00DC48D5"/>
    <w:rsid w:val="00DC5B52"/>
    <w:rsid w:val="00DD515F"/>
    <w:rsid w:val="00DF25D7"/>
    <w:rsid w:val="00DF555F"/>
    <w:rsid w:val="00E023B5"/>
    <w:rsid w:val="00E106B1"/>
    <w:rsid w:val="00E33169"/>
    <w:rsid w:val="00E51AC4"/>
    <w:rsid w:val="00E5258D"/>
    <w:rsid w:val="00E6528C"/>
    <w:rsid w:val="00E73F4D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42DF9"/>
    <w:rsid w:val="00F614CD"/>
    <w:rsid w:val="00F7274D"/>
    <w:rsid w:val="00F72DD5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1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83D19"/>
    <w:rsid w:val="00787EBD"/>
    <w:rsid w:val="008E118A"/>
    <w:rsid w:val="009D6248"/>
    <w:rsid w:val="00AB484A"/>
    <w:rsid w:val="00C117EB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EF69D-E6B0-4121-9795-AC196889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95</TotalTime>
  <Pages>4</Pages>
  <Words>1109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11</cp:revision>
  <cp:lastPrinted>2008-09-26T23:14:00Z</cp:lastPrinted>
  <dcterms:created xsi:type="dcterms:W3CDTF">2020-04-23T09:29:00Z</dcterms:created>
  <dcterms:modified xsi:type="dcterms:W3CDTF">2020-06-09T13:13:00Z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