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9740AC" w:rsidRDefault="009740AC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767291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9740AC" w:rsidRPr="00006957" w:rsidRDefault="009740AC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 w:rsidRPr="002973E8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ABANCA Corporación Bancaria, S.A</w:t>
                            </w: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760DF4" w:rsidRDefault="00760DF4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767291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760DF4" w:rsidRPr="00006957" w:rsidRDefault="00760DF4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 w:rsidRPr="002973E8">
                        <w:rPr>
                          <w:rFonts w:ascii="Century Gothic" w:hAnsi="Century Gothic"/>
                          <w:sz w:val="50"/>
                          <w:szCs w:val="50"/>
                        </w:rPr>
                        <w:t>ABANCA Corporación Bancaria, S.A</w:t>
                      </w: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40AC" w:rsidRDefault="009740AC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760DF4" w:rsidRDefault="00760DF4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20498F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415DBD">
      <w:pPr>
        <w:pStyle w:val="Ttulo2"/>
        <w:rPr>
          <w:lang w:bidi="es-ES"/>
        </w:rPr>
      </w:pPr>
      <w:r>
        <w:rPr>
          <w:lang w:bidi="es-ES"/>
        </w:rPr>
        <w:lastRenderedPageBreak/>
        <w:t>Marco de la evaluación.</w:t>
      </w: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0533C4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bookmarkStart w:id="0" w:name="_GoBack"/>
      <w:bookmarkEnd w:id="0"/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9D465A">
        <w:rPr>
          <w:rFonts w:cs="Arial"/>
          <w:szCs w:val="22"/>
        </w:rPr>
        <w:t xml:space="preserve"> </w:t>
      </w:r>
      <w:r w:rsidR="009D465A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415DBD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>información institucional 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lastRenderedPageBreak/>
        <w:t>Funciones que desarrollan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Las subvenciones y ayudas públicas recibidas con indicación de su 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720F46" wp14:editId="14C0CE9E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C3433D" wp14:editId="34F74BB6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40AC" w:rsidRPr="00F31BC3" w:rsidRDefault="009740AC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0CCC28B" wp14:editId="3A500ABD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760DF4" w:rsidRPr="00F31BC3" w:rsidRDefault="00760DF4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0CCC28B" wp14:editId="3A500ABD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BC0ADF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>“Evaluar el grado de aplicación de esta Ley”.</w:t>
      </w:r>
      <w:r w:rsidR="00415DBD" w:rsidRPr="000533C4">
        <w:rPr>
          <w:rFonts w:cs="Arial"/>
          <w:szCs w:val="22"/>
        </w:rPr>
        <w:t xml:space="preserve"> 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El período de un año se ha hecho coincidir con el año 2019 y la información sobre  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8D3C31" w:rsidP="00415DBD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szCs w:val="22"/>
        </w:rPr>
      </w:pPr>
    </w:p>
    <w:p w:rsidR="00415DBD" w:rsidRDefault="00415DBD" w:rsidP="00415DBD">
      <w:pPr>
        <w:sectPr w:rsidR="00415DBD" w:rsidSect="0020498F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Pr="00B1184C" w:rsidRDefault="00415DBD" w:rsidP="00415DBD"/>
    <w:p w:rsidR="0082470D" w:rsidRPr="004720A5" w:rsidRDefault="008D3C3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20498F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4720A5">
      <w:pPr>
        <w:pStyle w:val="Ttulo2"/>
        <w:numPr>
          <w:ilvl w:val="1"/>
          <w:numId w:val="2"/>
        </w:numPr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4720A5" w:rsidRPr="004720A5" w:rsidRDefault="004720A5" w:rsidP="004720A5">
      <w:pPr>
        <w:rPr>
          <w:lang w:bidi="es-ES"/>
        </w:rPr>
      </w:pPr>
    </w:p>
    <w:p w:rsidR="00C4050E" w:rsidRDefault="00011946" w:rsidP="0048117D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L</w:t>
      </w:r>
      <w:r w:rsidR="00AC4A6F">
        <w:rPr>
          <w:lang w:bidi="es-ES"/>
        </w:rPr>
        <w:t xml:space="preserve">a </w:t>
      </w:r>
      <w:r>
        <w:rPr>
          <w:lang w:bidi="es-ES"/>
        </w:rPr>
        <w:t xml:space="preserve">web de </w:t>
      </w:r>
      <w:r w:rsidR="004B7401">
        <w:rPr>
          <w:lang w:bidi="es-ES"/>
        </w:rPr>
        <w:t>ABANCA Corporación Bancaria</w:t>
      </w:r>
      <w:r w:rsidR="0048117D">
        <w:rPr>
          <w:lang w:bidi="es-ES"/>
        </w:rPr>
        <w:t xml:space="preserve"> S.A.</w:t>
      </w:r>
      <w:r>
        <w:rPr>
          <w:lang w:bidi="es-ES"/>
        </w:rPr>
        <w:t>,</w:t>
      </w:r>
      <w:r w:rsidR="004B7401">
        <w:rPr>
          <w:lang w:bidi="es-ES"/>
        </w:rPr>
        <w:t xml:space="preserve"> en adelante ABANCA,  </w:t>
      </w:r>
      <w:hyperlink r:id="rId17" w:history="1">
        <w:r w:rsidR="004B7401" w:rsidRPr="004B7401">
          <w:rPr>
            <w:color w:val="0000FF"/>
            <w:u w:val="single"/>
          </w:rPr>
          <w:t>https://www.abancacorporacionbancaria.com/es/</w:t>
        </w:r>
      </w:hyperlink>
      <w:r>
        <w:t xml:space="preserve">, </w:t>
      </w:r>
      <w:r w:rsidR="0048117D">
        <w:t xml:space="preserve">no </w:t>
      </w:r>
      <w:r>
        <w:rPr>
          <w:lang w:bidi="es-ES"/>
        </w:rPr>
        <w:t xml:space="preserve">contiene </w:t>
      </w:r>
      <w:r w:rsidR="0048117D">
        <w:rPr>
          <w:lang w:bidi="es-ES"/>
        </w:rPr>
        <w:t xml:space="preserve">ningún enlace </w:t>
      </w:r>
      <w:r w:rsidR="0048117D">
        <w:rPr>
          <w:lang w:bidi="es-ES"/>
        </w:rPr>
        <w:lastRenderedPageBreak/>
        <w:t>mediante el cual se acceda a las informaciones de la empresa sujetas a obligaciones de publicidad activa establecidas por la LTAIBG,  por tratarse de una entidad perceptora de subvenciones públicas durante el año 2019</w:t>
      </w:r>
      <w:r w:rsidR="004B7401">
        <w:rPr>
          <w:lang w:bidi="es-ES"/>
        </w:rPr>
        <w:t>.</w:t>
      </w:r>
      <w:r w:rsidR="00C4050E">
        <w:rPr>
          <w:lang w:bidi="es-ES"/>
        </w:rPr>
        <w:t xml:space="preserve"> </w:t>
      </w:r>
    </w:p>
    <w:p w:rsidR="00D47CFB" w:rsidRDefault="00D47CFB" w:rsidP="00C4050E">
      <w:pPr>
        <w:spacing w:line="276" w:lineRule="auto"/>
        <w:jc w:val="both"/>
        <w:rPr>
          <w:lang w:bidi="es-ES"/>
        </w:rPr>
        <w:sectPr w:rsidR="00D47CFB" w:rsidSect="0020498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803D20" w:rsidRDefault="00803D20" w:rsidP="00F05E2C">
      <w:pPr>
        <w:pStyle w:val="Cuerpodelboletn"/>
        <w:rPr>
          <w:lang w:bidi="es-ES"/>
        </w:rPr>
      </w:pPr>
    </w:p>
    <w:p w:rsidR="003F6EDC" w:rsidRPr="004720A5" w:rsidRDefault="008D3C31" w:rsidP="003F6EDC">
      <w:pPr>
        <w:pStyle w:val="Cuerpodelboletn"/>
        <w:numPr>
          <w:ilvl w:val="0"/>
          <w:numId w:val="2"/>
        </w:numPr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F05E2C">
      <w:pPr>
        <w:pStyle w:val="Cuerpodelboletn"/>
        <w:rPr>
          <w:lang w:bidi="es-ES"/>
        </w:rPr>
      </w:pPr>
    </w:p>
    <w:p w:rsidR="003F6EDC" w:rsidRDefault="003F6EDC" w:rsidP="00F05E2C">
      <w:pPr>
        <w:pStyle w:val="Cuerpodelboletn"/>
        <w:sectPr w:rsidR="003F6EDC" w:rsidSect="0020498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D47CFB" w:rsidRDefault="003E5D2F" w:rsidP="001870CE">
      <w:pPr>
        <w:pStyle w:val="Cuerpodelboletn"/>
        <w:numPr>
          <w:ilvl w:val="1"/>
          <w:numId w:val="2"/>
        </w:numPr>
        <w:ind w:left="426"/>
        <w:jc w:val="left"/>
        <w:rPr>
          <w:rStyle w:val="Ttulo2Car"/>
          <w:rFonts w:asciiTheme="majorHAnsi" w:hAnsiTheme="majorHAnsi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  Organizativa.</w:t>
      </w:r>
    </w:p>
    <w:p w:rsidR="00104E94" w:rsidRDefault="00104E94" w:rsidP="00104E94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104E94" w:rsidRPr="00104E94" w:rsidRDefault="00104E94" w:rsidP="00104E94">
      <w:pPr>
        <w:rPr>
          <w:lang w:bidi="es-ES"/>
        </w:rPr>
      </w:pPr>
    </w:p>
    <w:p w:rsidR="0048117D" w:rsidRDefault="00902A71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La información relativa a este grupo de obligaciones se encuentra contenida en </w:t>
      </w:r>
      <w:r w:rsidR="004B7401">
        <w:rPr>
          <w:lang w:bidi="es-ES"/>
        </w:rPr>
        <w:t>el</w:t>
      </w:r>
      <w:r w:rsidR="0048117D">
        <w:rPr>
          <w:lang w:bidi="es-ES"/>
        </w:rPr>
        <w:t xml:space="preserve"> acceso “</w:t>
      </w:r>
      <w:r w:rsidR="004B7401">
        <w:rPr>
          <w:lang w:bidi="es-ES"/>
        </w:rPr>
        <w:t>Gobierno Corporativo y política de remuneraciones</w:t>
      </w:r>
      <w:r w:rsidR="0048117D">
        <w:rPr>
          <w:lang w:bidi="es-ES"/>
        </w:rPr>
        <w:t>”.</w:t>
      </w:r>
      <w:r w:rsidR="001072EE">
        <w:rPr>
          <w:lang w:bidi="es-ES"/>
        </w:rPr>
        <w:t xml:space="preserve"> La organización de la </w:t>
      </w:r>
      <w:r w:rsidR="001072EE">
        <w:rPr>
          <w:lang w:bidi="es-ES"/>
        </w:rPr>
        <w:lastRenderedPageBreak/>
        <w:t>información de este acceso permite conocer la estructura organizativa de la entidad.</w:t>
      </w:r>
    </w:p>
    <w:p w:rsidR="00346A03" w:rsidRDefault="0048117D" w:rsidP="0048117D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En </w:t>
      </w:r>
      <w:r w:rsidR="004B7401">
        <w:rPr>
          <w:lang w:bidi="es-ES"/>
        </w:rPr>
        <w:t>los</w:t>
      </w:r>
      <w:r>
        <w:rPr>
          <w:lang w:bidi="es-ES"/>
        </w:rPr>
        <w:t xml:space="preserve"> acceso</w:t>
      </w:r>
      <w:r w:rsidR="004B7401">
        <w:rPr>
          <w:lang w:bidi="es-ES"/>
        </w:rPr>
        <w:t>s</w:t>
      </w:r>
      <w:r>
        <w:rPr>
          <w:lang w:bidi="es-ES"/>
        </w:rPr>
        <w:t xml:space="preserve"> “</w:t>
      </w:r>
      <w:r w:rsidR="004B7401">
        <w:rPr>
          <w:lang w:bidi="es-ES"/>
        </w:rPr>
        <w:t>Consejo de Administración</w:t>
      </w:r>
      <w:r>
        <w:rPr>
          <w:lang w:bidi="es-ES"/>
        </w:rPr>
        <w:t>”</w:t>
      </w:r>
      <w:r w:rsidR="004B7401">
        <w:rPr>
          <w:lang w:bidi="es-ES"/>
        </w:rPr>
        <w:t xml:space="preserve"> “Comisiones del Consejo”, “Comisión de Nombramientos”, “Comisión de Retribuciones” y </w:t>
      </w:r>
      <w:r w:rsidR="00346A03">
        <w:rPr>
          <w:lang w:bidi="es-ES"/>
        </w:rPr>
        <w:t xml:space="preserve">“Comisión de Riesgo Integral” se proporciona información sobre la </w:t>
      </w:r>
      <w:r w:rsidR="00346A03">
        <w:rPr>
          <w:lang w:bidi="es-ES"/>
        </w:rPr>
        <w:lastRenderedPageBreak/>
        <w:t xml:space="preserve">composición de estos órganos de ABANCA, con identificación de las personas que los integran y en el caso del Consejo de Administración se ofrece información sobre el perfil y trayectoria profesional de sus </w:t>
      </w:r>
      <w:r w:rsidR="00666F96">
        <w:rPr>
          <w:lang w:bidi="es-ES"/>
        </w:rPr>
        <w:t>integrantes</w:t>
      </w:r>
      <w:r w:rsidR="00346A03">
        <w:rPr>
          <w:lang w:bidi="es-ES"/>
        </w:rPr>
        <w:t xml:space="preserve">. </w:t>
      </w:r>
    </w:p>
    <w:p w:rsidR="00346A03" w:rsidRDefault="00346A03" w:rsidP="0048117D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También en los enlaces a las distintas Comisiones de ABANCA se describen las funciones que estas Comisiones tienen asignadas y el Reglamento por el que se rige su funcionamiento.</w:t>
      </w:r>
    </w:p>
    <w:p w:rsidR="0076239E" w:rsidRDefault="00346A03" w:rsidP="0048117D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A través del enlace “Estructura Organizativa” se accede al organigrama de la entidad.</w:t>
      </w:r>
    </w:p>
    <w:p w:rsidR="0076239E" w:rsidRDefault="0076239E" w:rsidP="0048117D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También se proporcionan enlaces a los Estatutos de </w:t>
      </w:r>
      <w:r w:rsidR="004B7401">
        <w:rPr>
          <w:lang w:bidi="es-ES"/>
        </w:rPr>
        <w:t xml:space="preserve">ABANCA y </w:t>
      </w:r>
      <w:r>
        <w:rPr>
          <w:lang w:bidi="es-ES"/>
        </w:rPr>
        <w:t>al Reglamento del Consejo de Administración y al Reglamento Interno de Conducta.</w:t>
      </w:r>
    </w:p>
    <w:p w:rsidR="00894358" w:rsidRDefault="00902A71" w:rsidP="0076239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 </w:t>
      </w:r>
    </w:p>
    <w:p w:rsidR="00894358" w:rsidRDefault="00C4050E" w:rsidP="00C4050E">
      <w:pPr>
        <w:pStyle w:val="Ttulo3"/>
        <w:spacing w:line="276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A240F7" wp14:editId="70A31CD1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957D01" wp14:editId="4DE96B99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40AC" w:rsidRPr="00F31BC3" w:rsidRDefault="009740AC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5005CE4" wp14:editId="59F872D7">
                                  <wp:extent cx="1148080" cy="64833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7P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n3Nm&#10;xUAz+kSq/fxhu50BViyjRKPzJUU+ugeMTXp3D/KrZxa2vbCdukGEsVeiIWJFjM9+S4iOp1RWj++h&#10;oQJiFyCpdWhxiICkAzukoTydh6IOgUm6XOYkTE6zk/S2WuULsmMJUZ6yHfrwVsHAolFxJPoJXezv&#10;fZhCTyGJPRjd3GljkoNdvTXI9oIW5E2+XCy2R3R/GWZsDLYQ0ybE6UalFZvKiJIoHyueWp6kC4f6&#10;kDR+fRKzhuaJBEGYFpI+EBk94HfORlrGivtvO4GKM/POkqir4uoqbu+lg5dOfekIKwmq4oGzydyG&#10;aeN3DnXXU6Ui6WPhhgbR6qRRZDyxOo6PFi6pfPwccaMv/RT16wtvngEAAP//AwBQSwMEFAAGAAgA&#10;AAAhAAElPi3eAAAACgEAAA8AAABkcnMvZG93bnJldi54bWxMT0FOwzAQvFfiD9YicWsdTFOqEKei&#10;SCD1kAOFSj1u4iWJiO0odtvwe7YnOO3uzGh2Jt9MthdnGkPnnYb7RQKCXO1N5xoNnx+v8zWIENEZ&#10;7L0jDT8UYFPczHLMjL+4dzrvYyPYxIUMNbQxDpmUoW7JYlj4gRxzX360GPkcG2lGvLC57aVKkpW0&#10;2Dn+0OJALy3V3/uT1XBcYXXYlYPaHk15eFuWXq23S63vbqfnJxCRpvgnhmt8jg4FZ6r8yZkgeg1z&#10;lbKS5wNXuvIqfWSk4i1lSBa5/F+h+AUAAP//AwBQSwECLQAUAAYACAAAACEAtoM4kv4AAADhAQAA&#10;EwAAAAAAAAAAAAAAAAAAAAAAW0NvbnRlbnRfVHlwZXNdLnhtbFBLAQItABQABgAIAAAAIQA4/SH/&#10;1gAAAJQBAAALAAAAAAAAAAAAAAAAAC8BAABfcmVscy8ucmVsc1BLAQItABQABgAIAAAAIQAy8J7P&#10;EAIAAAoEAAAOAAAAAAAAAAAAAAAAAC4CAABkcnMvZTJvRG9jLnhtbFBLAQItABQABgAIAAAAIQAB&#10;JT4t3gAAAAoBAAAPAAAAAAAAAAAAAAAAAGoEAABkcnMvZG93bnJldi54bWxQSwUGAAAAAAQABADz&#10;AAAAdQUAAAAA&#10;" fillcolor="#50866c" stroked="f">
                <v:textbox inset=",7.2pt,,7.2pt">
                  <w:txbxContent>
                    <w:p w:rsidR="00760DF4" w:rsidRPr="00F31BC3" w:rsidRDefault="00760DF4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5005CE4" wp14:editId="59F872D7">
                            <wp:extent cx="1148080" cy="64833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94358" w:rsidRDefault="00894358" w:rsidP="00C4050E">
      <w:pPr>
        <w:spacing w:line="276" w:lineRule="auto"/>
        <w:rPr>
          <w:lang w:bidi="es-ES"/>
        </w:rPr>
      </w:pPr>
    </w:p>
    <w:p w:rsidR="00894358" w:rsidRDefault="00F36022" w:rsidP="00C4050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F36022">
        <w:rPr>
          <w:b/>
          <w:u w:val="single"/>
          <w:lang w:bidi="es-ES"/>
        </w:rPr>
        <w:t>no recogen</w:t>
      </w:r>
      <w:r w:rsidR="009E7254">
        <w:rPr>
          <w:b/>
          <w:u w:val="single"/>
          <w:lang w:bidi="es-ES"/>
        </w:rPr>
        <w:t xml:space="preserve"> </w:t>
      </w:r>
      <w:r w:rsidR="009E7254">
        <w:rPr>
          <w:lang w:bidi="es-ES"/>
        </w:rPr>
        <w:t xml:space="preserve">la totalidad de las informaciones contempladas en el artículo 6 de la LTAIBG aplicables a </w:t>
      </w:r>
      <w:r w:rsidR="004B7401">
        <w:rPr>
          <w:lang w:bidi="es-ES"/>
        </w:rPr>
        <w:t>ABANCA</w:t>
      </w:r>
      <w:r w:rsidR="009E7254">
        <w:rPr>
          <w:lang w:bidi="es-ES"/>
        </w:rPr>
        <w:t>.</w:t>
      </w:r>
    </w:p>
    <w:p w:rsidR="009E7254" w:rsidRDefault="009E725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E7254" w:rsidRDefault="00346A03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No se incluye una descripción de las funciones y actividades que desarrolla ABANCA</w:t>
      </w:r>
      <w:r w:rsidR="009E7254">
        <w:rPr>
          <w:lang w:bidi="es-ES"/>
        </w:rPr>
        <w:t>.</w:t>
      </w:r>
      <w:r>
        <w:rPr>
          <w:lang w:bidi="es-ES"/>
        </w:rPr>
        <w:t xml:space="preserve"> Aunque se describen las funciones de las distintas comisiones este hecho no suple la falta de información de la actividad que desarrolla con carácter general ABANCA.</w:t>
      </w:r>
    </w:p>
    <w:p w:rsidR="0076239E" w:rsidRDefault="0076239E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76239E" w:rsidRDefault="0076239E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otra parte aunque se publican diversos reglamentos de funcionamiento interno así como los Estatutos de la entidad, no se incluyen las normas de carácter general que regulan </w:t>
      </w:r>
      <w:r w:rsidR="00641C8E">
        <w:rPr>
          <w:lang w:bidi="es-ES"/>
        </w:rPr>
        <w:t xml:space="preserve">la actividad y </w:t>
      </w:r>
      <w:r>
        <w:rPr>
          <w:lang w:bidi="es-ES"/>
        </w:rPr>
        <w:t xml:space="preserve">el funcionamiento de </w:t>
      </w:r>
      <w:r w:rsidR="00641C8E">
        <w:rPr>
          <w:lang w:bidi="es-ES"/>
        </w:rPr>
        <w:t>la empresa.</w:t>
      </w:r>
      <w:r>
        <w:rPr>
          <w:lang w:bidi="es-ES"/>
        </w:rPr>
        <w:t xml:space="preserve"> </w:t>
      </w:r>
    </w:p>
    <w:p w:rsidR="009E7254" w:rsidRDefault="009E725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E7254" w:rsidRDefault="009E7254" w:rsidP="00C4050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</w:t>
      </w:r>
      <w:r w:rsidR="0076239E">
        <w:rPr>
          <w:lang w:bidi="es-ES"/>
        </w:rPr>
        <w:t xml:space="preserve">gran parte de ésta se publica directamente en la web </w:t>
      </w:r>
      <w:r>
        <w:rPr>
          <w:lang w:bidi="es-ES"/>
        </w:rPr>
        <w:t xml:space="preserve">lo que imposibilita </w:t>
      </w:r>
      <w:r w:rsidR="00415DBD">
        <w:rPr>
          <w:lang w:bidi="es-ES"/>
        </w:rPr>
        <w:t>su</w:t>
      </w:r>
      <w:r>
        <w:rPr>
          <w:lang w:bidi="es-ES"/>
        </w:rPr>
        <w:t xml:space="preserve"> tratamiento</w:t>
      </w:r>
      <w:r w:rsidR="00AD6065">
        <w:rPr>
          <w:lang w:bidi="es-ES"/>
        </w:rPr>
        <w:t>, por lo tanto no se trata de información reutilizable.</w:t>
      </w:r>
    </w:p>
    <w:p w:rsidR="009E7254" w:rsidRDefault="009E725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E7254" w:rsidRDefault="0076239E" w:rsidP="00C4050E">
      <w:pPr>
        <w:pStyle w:val="Prrafodelista"/>
        <w:spacing w:line="276" w:lineRule="auto"/>
        <w:ind w:left="284"/>
        <w:jc w:val="both"/>
      </w:pPr>
      <w:r>
        <w:t xml:space="preserve">La información relativa a las normas que regulan la actividad </w:t>
      </w:r>
      <w:r w:rsidR="00641C8E">
        <w:t xml:space="preserve">de </w:t>
      </w:r>
      <w:r w:rsidR="004B7401">
        <w:t>ABANCA</w:t>
      </w:r>
      <w:r w:rsidR="00641C8E">
        <w:t xml:space="preserve"> están datadas, pero no existe ninguna referencia que permita conocer si la información está vigente, ya que no se indica la fecha en que se efectuó la última revisión o actualización de la información.</w:t>
      </w:r>
    </w:p>
    <w:p w:rsidR="00633EAA" w:rsidRDefault="00633EAA" w:rsidP="009E7254">
      <w:pPr>
        <w:pStyle w:val="Prrafodelista"/>
        <w:ind w:left="284"/>
        <w:jc w:val="both"/>
      </w:pPr>
    </w:p>
    <w:p w:rsidR="003E5D2F" w:rsidRDefault="003E5D2F" w:rsidP="0020498F">
      <w:pPr>
        <w:pStyle w:val="Ttulo2"/>
        <w:numPr>
          <w:ilvl w:val="1"/>
          <w:numId w:val="2"/>
        </w:numPr>
        <w:ind w:left="284"/>
        <w:rPr>
          <w:lang w:bidi="es-ES"/>
        </w:rPr>
      </w:pPr>
      <w:r>
        <w:rPr>
          <w:lang w:bidi="es-ES"/>
        </w:rPr>
        <w:t>Información Económica</w:t>
      </w:r>
      <w:r w:rsidR="00AD6065">
        <w:rPr>
          <w:lang w:bidi="es-ES"/>
        </w:rPr>
        <w:t xml:space="preserve"> y  Presupuestaria.</w:t>
      </w:r>
    </w:p>
    <w:p w:rsidR="00AD6065" w:rsidRDefault="00AD6065" w:rsidP="00C213EC">
      <w:pPr>
        <w:pStyle w:val="Cuerpodelboletn"/>
        <w:rPr>
          <w:lang w:bidi="es-ES"/>
        </w:rPr>
      </w:pPr>
    </w:p>
    <w:p w:rsidR="00AD6065" w:rsidRDefault="00AD6065" w:rsidP="00AD6065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AD6065" w:rsidRDefault="00AD6065" w:rsidP="00C213EC">
      <w:pPr>
        <w:pStyle w:val="Cuerpodelboletn"/>
        <w:rPr>
          <w:lang w:bidi="es-ES"/>
        </w:rPr>
      </w:pPr>
    </w:p>
    <w:p w:rsidR="00AD6065" w:rsidRDefault="0093113F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L</w:t>
      </w:r>
      <w:r w:rsidR="00AD6065">
        <w:rPr>
          <w:lang w:bidi="es-ES"/>
        </w:rPr>
        <w:t xml:space="preserve">a información correspondiente a este bloque de obligaciones se </w:t>
      </w:r>
      <w:r w:rsidR="009F1B04">
        <w:rPr>
          <w:lang w:bidi="es-ES"/>
        </w:rPr>
        <w:t>localiza</w:t>
      </w:r>
      <w:r w:rsidR="00346A03">
        <w:rPr>
          <w:lang w:bidi="es-ES"/>
        </w:rPr>
        <w:t xml:space="preserve"> también</w:t>
      </w:r>
      <w:r w:rsidR="00AD6065">
        <w:rPr>
          <w:lang w:bidi="es-ES"/>
        </w:rPr>
        <w:t xml:space="preserve"> </w:t>
      </w:r>
      <w:r w:rsidR="009F1B04">
        <w:rPr>
          <w:lang w:bidi="es-ES"/>
        </w:rPr>
        <w:t>en e</w:t>
      </w:r>
      <w:r w:rsidR="00AD6065">
        <w:rPr>
          <w:lang w:bidi="es-ES"/>
        </w:rPr>
        <w:t xml:space="preserve">l </w:t>
      </w:r>
      <w:r w:rsidR="00641C8E">
        <w:rPr>
          <w:lang w:bidi="es-ES"/>
        </w:rPr>
        <w:t>acceso</w:t>
      </w:r>
      <w:r w:rsidR="00AD6065">
        <w:rPr>
          <w:lang w:bidi="es-ES"/>
        </w:rPr>
        <w:t xml:space="preserve"> </w:t>
      </w:r>
      <w:r w:rsidRPr="0093113F">
        <w:rPr>
          <w:lang w:bidi="es-ES"/>
        </w:rPr>
        <w:t>“Gobierno Corporativo y política de remuneraciones”</w:t>
      </w:r>
      <w:r w:rsidR="00AD6065">
        <w:rPr>
          <w:lang w:bidi="es-ES"/>
        </w:rPr>
        <w:t>.</w:t>
      </w:r>
    </w:p>
    <w:p w:rsidR="00AD6065" w:rsidRDefault="00AD6065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Este </w:t>
      </w:r>
      <w:r w:rsidR="00641C8E">
        <w:rPr>
          <w:lang w:bidi="es-ES"/>
        </w:rPr>
        <w:t>acceso</w:t>
      </w:r>
      <w:r>
        <w:rPr>
          <w:lang w:bidi="es-ES"/>
        </w:rPr>
        <w:t xml:space="preserve"> </w:t>
      </w:r>
      <w:r w:rsidR="00641C8E">
        <w:rPr>
          <w:lang w:bidi="es-ES"/>
        </w:rPr>
        <w:t>contiene diferentes enlaces a través de los que</w:t>
      </w:r>
      <w:r>
        <w:rPr>
          <w:lang w:bidi="es-ES"/>
        </w:rPr>
        <w:t xml:space="preserve"> se localiza la siguiente información:</w:t>
      </w:r>
    </w:p>
    <w:p w:rsidR="00AD6065" w:rsidRDefault="00641C8E" w:rsidP="00EA2404">
      <w:pPr>
        <w:pStyle w:val="Cuerpodelboletn"/>
        <w:numPr>
          <w:ilvl w:val="0"/>
          <w:numId w:val="6"/>
        </w:numPr>
        <w:spacing w:line="276" w:lineRule="auto"/>
        <w:ind w:left="283" w:hanging="357"/>
        <w:rPr>
          <w:lang w:bidi="es-ES"/>
        </w:rPr>
      </w:pPr>
      <w:r>
        <w:rPr>
          <w:lang w:bidi="es-ES"/>
        </w:rPr>
        <w:t>A través del enlace “Informe</w:t>
      </w:r>
      <w:r w:rsidR="0093113F">
        <w:rPr>
          <w:lang w:bidi="es-ES"/>
        </w:rPr>
        <w:t>s</w:t>
      </w:r>
      <w:r>
        <w:rPr>
          <w:lang w:bidi="es-ES"/>
        </w:rPr>
        <w:t xml:space="preserve"> Financiero</w:t>
      </w:r>
      <w:r w:rsidR="0093113F">
        <w:rPr>
          <w:lang w:bidi="es-ES"/>
        </w:rPr>
        <w:t>s</w:t>
      </w:r>
      <w:r>
        <w:rPr>
          <w:lang w:bidi="es-ES"/>
        </w:rPr>
        <w:t xml:space="preserve">” se accede a la información </w:t>
      </w:r>
      <w:r w:rsidR="0076085B">
        <w:rPr>
          <w:lang w:bidi="es-ES"/>
        </w:rPr>
        <w:t>relativa a los estados financieros de la entidad que puede equiparse  a la obligación de publicación de los presupuestos anuales y su grado de ejecución. Estos informes corresponden al periodo 201</w:t>
      </w:r>
      <w:r w:rsidR="0093113F">
        <w:rPr>
          <w:lang w:bidi="es-ES"/>
        </w:rPr>
        <w:t>4</w:t>
      </w:r>
      <w:r w:rsidR="0076085B">
        <w:rPr>
          <w:lang w:bidi="es-ES"/>
        </w:rPr>
        <w:t>-2019.</w:t>
      </w:r>
    </w:p>
    <w:p w:rsidR="00AD6065" w:rsidRDefault="0076085B" w:rsidP="00EA2404">
      <w:pPr>
        <w:pStyle w:val="Cuerpodelboletn"/>
        <w:numPr>
          <w:ilvl w:val="0"/>
          <w:numId w:val="6"/>
        </w:numPr>
        <w:spacing w:line="276" w:lineRule="auto"/>
        <w:ind w:left="283" w:hanging="357"/>
        <w:rPr>
          <w:lang w:bidi="es-ES"/>
        </w:rPr>
      </w:pPr>
      <w:r>
        <w:rPr>
          <w:lang w:bidi="es-ES"/>
        </w:rPr>
        <w:t>Este mismo enlace facilita el acceso a las cuentas anuales individuales y consolidadas y a los correspondientes inf</w:t>
      </w:r>
      <w:r w:rsidR="009F1B04">
        <w:rPr>
          <w:lang w:bidi="es-ES"/>
        </w:rPr>
        <w:t>ormes de gestión y de auditoría, también para el periodo 201</w:t>
      </w:r>
      <w:r w:rsidR="0093113F">
        <w:rPr>
          <w:lang w:bidi="es-ES"/>
        </w:rPr>
        <w:t>4</w:t>
      </w:r>
      <w:r w:rsidR="009F1B04">
        <w:rPr>
          <w:lang w:bidi="es-ES"/>
        </w:rPr>
        <w:t>-2019.</w:t>
      </w:r>
    </w:p>
    <w:p w:rsidR="00AD6065" w:rsidRPr="008D1336" w:rsidRDefault="009F1B04" w:rsidP="00C4050E">
      <w:pPr>
        <w:pStyle w:val="Cuerpodelboletn"/>
        <w:numPr>
          <w:ilvl w:val="0"/>
          <w:numId w:val="6"/>
        </w:numPr>
        <w:spacing w:line="276" w:lineRule="auto"/>
        <w:ind w:left="284"/>
        <w:rPr>
          <w:lang w:bidi="es-ES"/>
        </w:rPr>
      </w:pPr>
      <w:r w:rsidRPr="008D1336">
        <w:rPr>
          <w:lang w:bidi="es-ES"/>
        </w:rPr>
        <w:lastRenderedPageBreak/>
        <w:t xml:space="preserve">A través del enlace “Remuneraciones de los Consejeros” </w:t>
      </w:r>
      <w:r w:rsidR="0093113F">
        <w:rPr>
          <w:lang w:bidi="es-ES"/>
        </w:rPr>
        <w:t xml:space="preserve">situado al final de la descripción de la composición del Consejo de Administración se accede a las retribuciones de los Consejeros correspondientes a 2017 </w:t>
      </w:r>
      <w:r w:rsidR="008D1336">
        <w:rPr>
          <w:lang w:bidi="es-ES"/>
        </w:rPr>
        <w:t>así como a un documento que contiene la política de remuneraciones de la entidad.</w:t>
      </w:r>
    </w:p>
    <w:p w:rsidR="001870CE" w:rsidRDefault="001870CE" w:rsidP="00C4050E">
      <w:pPr>
        <w:pStyle w:val="Ttulo3"/>
        <w:spacing w:line="276" w:lineRule="auto"/>
        <w:rPr>
          <w:rFonts w:ascii="Century Gothic" w:hAnsi="Century Gothic"/>
          <w:lang w:bidi="es-ES"/>
        </w:rPr>
      </w:pPr>
    </w:p>
    <w:p w:rsidR="00BA03C4" w:rsidRPr="00BA03C4" w:rsidRDefault="008D3C31" w:rsidP="00C4050E">
      <w:pPr>
        <w:pStyle w:val="Ttulo3"/>
        <w:spacing w:line="276" w:lineRule="auto"/>
        <w:rPr>
          <w:rFonts w:ascii="Century Gothic" w:hAnsi="Century Gothic"/>
          <w:lang w:bidi="es-ES"/>
        </w:rPr>
      </w:pPr>
      <w:r>
        <w:rPr>
          <w:rFonts w:ascii="Century Gothic" w:hAnsi="Century Gothic"/>
          <w:lang w:bidi="es-ES"/>
        </w:rPr>
        <w:t>Análisis de la información</w:t>
      </w:r>
    </w:p>
    <w:p w:rsidR="00BA03C4" w:rsidRDefault="00BA03C4" w:rsidP="00C4050E">
      <w:pPr>
        <w:pStyle w:val="Cuerpodelboletn"/>
        <w:spacing w:line="276" w:lineRule="auto"/>
        <w:rPr>
          <w:lang w:bidi="es-ES"/>
        </w:rPr>
      </w:pPr>
    </w:p>
    <w:p w:rsidR="00BA03C4" w:rsidRDefault="00BA03C4" w:rsidP="00C4050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Pr="00F36022">
        <w:rPr>
          <w:b/>
          <w:u w:val="single"/>
          <w:lang w:bidi="es-ES"/>
        </w:rPr>
        <w:t>no recogen</w:t>
      </w:r>
      <w:r>
        <w:rPr>
          <w:b/>
          <w:u w:val="single"/>
          <w:lang w:bidi="es-ES"/>
        </w:rPr>
        <w:t xml:space="preserve"> </w:t>
      </w:r>
      <w:r>
        <w:rPr>
          <w:lang w:bidi="es-ES"/>
        </w:rPr>
        <w:t xml:space="preserve">la totalidad de las informaciones contempladas en el artículo 8 de la LTAIBG aplicables a </w:t>
      </w:r>
      <w:r w:rsidR="004B7401">
        <w:rPr>
          <w:lang w:bidi="es-ES"/>
        </w:rPr>
        <w:t>ABANCA</w:t>
      </w:r>
      <w:r w:rsidR="0076239E">
        <w:rPr>
          <w:lang w:bidi="es-ES"/>
        </w:rPr>
        <w:t>.</w:t>
      </w:r>
    </w:p>
    <w:p w:rsidR="00633EAA" w:rsidRDefault="00633EAA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BA03C4" w:rsidRDefault="00BA03C4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No se incluye ninguna información relativa a los contratos adjudicados por administraciones públicas a la entidad.</w:t>
      </w:r>
    </w:p>
    <w:p w:rsidR="00BA03C4" w:rsidRDefault="00BA03C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BA03C4" w:rsidRDefault="008D1336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Tampoco se incorpora información sobre</w:t>
      </w:r>
      <w:r w:rsidR="00BA03C4">
        <w:rPr>
          <w:lang w:bidi="es-ES"/>
        </w:rPr>
        <w:t xml:space="preserve"> los convenios subscritos con </w:t>
      </w:r>
      <w:r w:rsidR="009D4047">
        <w:rPr>
          <w:lang w:bidi="es-ES"/>
        </w:rPr>
        <w:t>administraciones</w:t>
      </w:r>
      <w:r w:rsidR="00BA03C4">
        <w:rPr>
          <w:lang w:bidi="es-ES"/>
        </w:rPr>
        <w:t xml:space="preserve"> públicas</w:t>
      </w:r>
      <w:r w:rsidR="009D4047">
        <w:rPr>
          <w:lang w:bidi="es-ES"/>
        </w:rPr>
        <w:t>.</w:t>
      </w:r>
    </w:p>
    <w:p w:rsidR="0093113F" w:rsidRDefault="0093113F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D4047" w:rsidRDefault="009D4047" w:rsidP="00C4050E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Tampoco se proporciona información sobre </w:t>
      </w:r>
      <w:r w:rsidR="00AA3285">
        <w:rPr>
          <w:lang w:bidi="es-ES"/>
        </w:rPr>
        <w:t>las subvenciones y ayudas públicas recibidas</w:t>
      </w:r>
      <w:r>
        <w:rPr>
          <w:lang w:bidi="es-ES"/>
        </w:rPr>
        <w:t>.</w:t>
      </w:r>
    </w:p>
    <w:p w:rsidR="009D4047" w:rsidRDefault="009D4047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BA03C4" w:rsidRDefault="009D4047" w:rsidP="00C4050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</w:t>
      </w:r>
      <w:r w:rsidR="00AA3285">
        <w:rPr>
          <w:lang w:bidi="es-ES"/>
        </w:rPr>
        <w:t xml:space="preserve">algunas informaciones se publican en formatos no reutilizables </w:t>
      </w:r>
      <w:r>
        <w:rPr>
          <w:lang w:bidi="es-ES"/>
        </w:rPr>
        <w:t xml:space="preserve">ya que se recurre a ficheros </w:t>
      </w:r>
      <w:proofErr w:type="spellStart"/>
      <w:r>
        <w:rPr>
          <w:lang w:bidi="es-ES"/>
        </w:rPr>
        <w:t>pdf</w:t>
      </w:r>
      <w:proofErr w:type="spellEnd"/>
      <w:r>
        <w:rPr>
          <w:lang w:bidi="es-ES"/>
        </w:rPr>
        <w:t xml:space="preserve"> de imagen.</w:t>
      </w:r>
    </w:p>
    <w:p w:rsidR="0093113F" w:rsidRDefault="0093113F" w:rsidP="0093113F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3E5D2F" w:rsidRDefault="00F132F9" w:rsidP="009740AC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Y como en el caso de la información Institucional y organizativa, no existe ningún tipo de referencia que permita conocer si la información publicada está </w:t>
      </w:r>
      <w:r w:rsidR="00666F96">
        <w:rPr>
          <w:lang w:bidi="es-ES"/>
        </w:rPr>
        <w:t>actualizada</w:t>
      </w:r>
      <w:r>
        <w:rPr>
          <w:lang w:bidi="es-ES"/>
        </w:rPr>
        <w:t xml:space="preserve">.  </w:t>
      </w:r>
    </w:p>
    <w:p w:rsidR="000D5417" w:rsidRDefault="000D5417" w:rsidP="00C213EC">
      <w:pPr>
        <w:pStyle w:val="Cuerpodelboletn"/>
        <w:rPr>
          <w:lang w:bidi="es-ES"/>
        </w:rPr>
        <w:sectPr w:rsidR="000D5417" w:rsidSect="0020498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18D8E" wp14:editId="151072C8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00F3D" wp14:editId="0A2573ED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40AC" w:rsidRPr="00F31BC3" w:rsidRDefault="009740AC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A585613" wp14:editId="39EAF7EF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WIEAIAAAoEAAAOAAAAZHJzL2Uyb0RvYy54bWysU1GO0zAQ/UfiDpb/aZK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xvO&#10;jOhpRs+k2o/vptl3wLJVkGiwLqfIF/uEoUlnH0F+cczArhWmUXeIMLRKVEQsC/HJbwnBcZTKyuE9&#10;VFRA7D1EtcYa+wBIOrAxDuV4GYoaPZN0uUpJmJRmJ+ltvU6XZIcSIj9nW3T+rYKeBaPgSPQjujg8&#10;Oj+FnkMie+h09aC7LjrYlLsO2UHQgtykq+Vyd0J312GdCcEGQtqEON2ouGJTGZET5VPFc8uTdH4s&#10;x6jx4ixmCdWRBEGYFpI+EBkt4DfOBlrGgruve4GKs+6dIVHX2WIR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GjVhYg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760DF4" w:rsidRPr="00F31BC3" w:rsidRDefault="00760DF4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12860B" wp14:editId="1BACF7BE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1763F8">
      <w:pPr>
        <w:pStyle w:val="Cuerpodelboletn"/>
        <w:sectPr w:rsidR="001763F8" w:rsidSect="0020498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Default="00C1290B" w:rsidP="00C4050E">
      <w:pPr>
        <w:pStyle w:val="Cuerpodelboletn"/>
        <w:spacing w:line="276" w:lineRule="auto"/>
        <w:rPr>
          <w:lang w:bidi="es-ES"/>
        </w:rPr>
      </w:pPr>
      <w:r w:rsidRPr="00AA3285">
        <w:rPr>
          <w:lang w:bidi="es-ES"/>
        </w:rPr>
        <w:lastRenderedPageBreak/>
        <w:t xml:space="preserve">El índice de cumplimiento de la información obligatoria por parte de </w:t>
      </w:r>
      <w:r w:rsidR="004B7401">
        <w:rPr>
          <w:lang w:bidi="es-ES"/>
        </w:rPr>
        <w:t>ABANCA</w:t>
      </w:r>
      <w:r w:rsidRPr="00AA3285">
        <w:rPr>
          <w:lang w:bidi="es-ES"/>
        </w:rPr>
        <w:t xml:space="preserve"> puede considerarse</w:t>
      </w:r>
      <w:r w:rsidR="001B56AC" w:rsidRPr="00AA3285">
        <w:rPr>
          <w:lang w:bidi="es-ES"/>
        </w:rPr>
        <w:t xml:space="preserve"> </w:t>
      </w:r>
      <w:r w:rsidR="008D1336" w:rsidRPr="00AA3285">
        <w:rPr>
          <w:lang w:bidi="es-ES"/>
        </w:rPr>
        <w:t>medio</w:t>
      </w:r>
      <w:r w:rsidRPr="00AA3285">
        <w:rPr>
          <w:lang w:bidi="es-ES"/>
        </w:rPr>
        <w:t xml:space="preserve">, un </w:t>
      </w:r>
      <w:r w:rsidR="009740AC">
        <w:rPr>
          <w:lang w:bidi="es-ES"/>
        </w:rPr>
        <w:t>57,6</w:t>
      </w:r>
      <w:r w:rsidRPr="00AA3285">
        <w:rPr>
          <w:lang w:bidi="es-ES"/>
        </w:rPr>
        <w:t>%.</w:t>
      </w:r>
    </w:p>
    <w:p w:rsidR="00C1290B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En el caso de la información Institucional y Organizativa el nivel de cumplimiento </w:t>
      </w:r>
      <w:r w:rsidR="00AA3285">
        <w:rPr>
          <w:lang w:bidi="es-ES"/>
        </w:rPr>
        <w:t xml:space="preserve">alcanza el </w:t>
      </w:r>
      <w:r w:rsidR="009740AC">
        <w:rPr>
          <w:lang w:bidi="es-ES"/>
        </w:rPr>
        <w:t>63</w:t>
      </w:r>
      <w:r w:rsidR="0093113F">
        <w:rPr>
          <w:lang w:bidi="es-ES"/>
        </w:rPr>
        <w:t>,1</w:t>
      </w:r>
      <w:r>
        <w:rPr>
          <w:lang w:bidi="es-ES"/>
        </w:rPr>
        <w:t xml:space="preserve">%, </w:t>
      </w:r>
      <w:r w:rsidR="009740AC">
        <w:rPr>
          <w:lang w:bidi="es-ES"/>
        </w:rPr>
        <w:t>disminuyendo</w:t>
      </w:r>
      <w:r w:rsidR="0093113F">
        <w:rPr>
          <w:lang w:bidi="es-ES"/>
        </w:rPr>
        <w:t xml:space="preserve"> el grado de cumplimiento en </w:t>
      </w:r>
      <w:r>
        <w:rPr>
          <w:lang w:bidi="es-ES"/>
        </w:rPr>
        <w:t xml:space="preserve">la información económica y </w:t>
      </w:r>
      <w:r w:rsidR="0093113F">
        <w:rPr>
          <w:lang w:bidi="es-ES"/>
        </w:rPr>
        <w:t>presupuestaria,</w:t>
      </w:r>
      <w:r>
        <w:rPr>
          <w:lang w:bidi="es-ES"/>
        </w:rPr>
        <w:t xml:space="preserve"> </w:t>
      </w:r>
      <w:r w:rsidR="0093113F">
        <w:rPr>
          <w:lang w:bidi="es-ES"/>
        </w:rPr>
        <w:t xml:space="preserve">un </w:t>
      </w:r>
      <w:r w:rsidR="009740AC">
        <w:rPr>
          <w:lang w:bidi="es-ES"/>
        </w:rPr>
        <w:t>54</w:t>
      </w:r>
      <w:r w:rsidR="0093113F">
        <w:rPr>
          <w:lang w:bidi="es-ES"/>
        </w:rPr>
        <w:t>%.</w:t>
      </w:r>
    </w:p>
    <w:p w:rsidR="00AA3285" w:rsidRDefault="00AA3285" w:rsidP="00AA3285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La falta de publicación de informaciones obligatorias así como el hecho de que mucha información no se publique en formatos reutilizables y la falta de referencias a la actualización de la información publicada, explican la puntuación alcanzada. </w:t>
      </w:r>
    </w:p>
    <w:p w:rsidR="00AA3285" w:rsidRDefault="00AA3285" w:rsidP="00AA3285">
      <w:pPr>
        <w:pStyle w:val="Cuerpodelboletn"/>
        <w:spacing w:line="276" w:lineRule="auto"/>
        <w:rPr>
          <w:lang w:bidi="es-ES"/>
        </w:rPr>
        <w:sectPr w:rsidR="00AA3285" w:rsidSect="0020498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C259F4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3CAB9" wp14:editId="56E50B13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E6B916" wp14:editId="4D574B05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40AC" w:rsidRPr="00F31BC3" w:rsidRDefault="009740AC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21A9FE1" wp14:editId="627449A3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quEAIAAAoEAAAOAAAAZHJzL2Uyb0RvYy54bWysU1GO0zAQ/UfiDpb/aZJlt2qjpqtVV4uQ&#10;FlixcADHcRILx2PGbtNyG87CxRg7bSnwh/ixZuyZN2/ejFe3+8GwnUKvwVa8mOWcKSuh0bar+OdP&#10;D68WnPkgbCMMWFXxg/L8dv3yxWp0pbqCHkyjkBGI9eXoKt6H4Mos87JXg/AzcMrSYws4iEAudlmD&#10;YiT0wWRXeT7PRsDGIUjlPd3eT498nfDbVsnwoW29CsxUnLiFdGI663hm65UoOxSu1/JIQ/wDi0Fo&#10;S0XPUPciCLZF/RfUoCWChzbMJAwZtK2WKvVA3RT5H90898Kp1AuJ491ZJv//YOX73RMy3VT8dcGZ&#10;FQPN6COp9uO77bYGWLGIEo3OlxT57J4wNundI8gvnlnY9MJ26g4Rxl6JhogVMT77LSE6nlJZPb6D&#10;hgqIbYCk1r7FIQKSDmyfhnI4D0XtA5N0uchJmJxmJ+ltucznZMcSojxlO/ThjYKBRaPiSPQTutg9&#10;+jCFnkISezC6edDGJAe7emOQ7QQtyE2+mM83R3R/GWZsDLYQ0ybE6UalFZvKiJIoHyueWp6kC/t6&#10;nzS+OYlZQ3MgQRCmhaQPREYP+I2zkZax4v7rVqDizLy1JOqyuL6O23vp4KVTXzrCSoKqeOBsMjdh&#10;2vitQ931VKlI+li4o0G0OmkUGU+sjuOjhUsqHz9H3OhLP0X9+sLrn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CWnequ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760DF4" w:rsidRPr="00F31BC3" w:rsidRDefault="00760DF4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21A9FE1" wp14:editId="627449A3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4225D2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4225D2" w:rsidRDefault="00C1290B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4225D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225D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4225D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225D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4225D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225D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4225D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225D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4225D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225D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4225D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225D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4225D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225D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4225D2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225D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9740AC" w:rsidRPr="004225D2" w:rsidTr="0097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9740AC" w:rsidRPr="004225D2" w:rsidRDefault="009740AC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225D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75,0%</w:t>
            </w:r>
          </w:p>
        </w:tc>
        <w:tc>
          <w:tcPr>
            <w:tcW w:w="851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83,3%</w:t>
            </w:r>
          </w:p>
        </w:tc>
        <w:tc>
          <w:tcPr>
            <w:tcW w:w="1276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83,3%</w:t>
            </w:r>
          </w:p>
        </w:tc>
        <w:tc>
          <w:tcPr>
            <w:tcW w:w="1275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83,3%</w:t>
            </w:r>
          </w:p>
        </w:tc>
        <w:tc>
          <w:tcPr>
            <w:tcW w:w="851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83,3%</w:t>
            </w:r>
          </w:p>
        </w:tc>
        <w:tc>
          <w:tcPr>
            <w:tcW w:w="1134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16,7%</w:t>
            </w:r>
          </w:p>
        </w:tc>
        <w:tc>
          <w:tcPr>
            <w:tcW w:w="1116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16,7%</w:t>
            </w:r>
          </w:p>
        </w:tc>
        <w:tc>
          <w:tcPr>
            <w:tcW w:w="868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63,1%</w:t>
            </w:r>
          </w:p>
        </w:tc>
      </w:tr>
      <w:tr w:rsidR="009740AC" w:rsidRPr="004225D2" w:rsidTr="009740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9740AC" w:rsidRPr="004225D2" w:rsidRDefault="009740AC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225D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55,6%</w:t>
            </w:r>
          </w:p>
        </w:tc>
        <w:tc>
          <w:tcPr>
            <w:tcW w:w="851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55,6%</w:t>
            </w:r>
          </w:p>
        </w:tc>
        <w:tc>
          <w:tcPr>
            <w:tcW w:w="1276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55,6%</w:t>
            </w:r>
          </w:p>
        </w:tc>
        <w:tc>
          <w:tcPr>
            <w:tcW w:w="1275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55,6%</w:t>
            </w:r>
          </w:p>
        </w:tc>
        <w:tc>
          <w:tcPr>
            <w:tcW w:w="851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55,6%</w:t>
            </w:r>
          </w:p>
        </w:tc>
        <w:tc>
          <w:tcPr>
            <w:tcW w:w="1134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44,4%</w:t>
            </w:r>
          </w:p>
        </w:tc>
        <w:tc>
          <w:tcPr>
            <w:tcW w:w="1116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55,6%</w:t>
            </w:r>
          </w:p>
        </w:tc>
        <w:tc>
          <w:tcPr>
            <w:tcW w:w="868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40AC">
              <w:rPr>
                <w:sz w:val="16"/>
                <w:szCs w:val="16"/>
              </w:rPr>
              <w:t>54,0%</w:t>
            </w:r>
          </w:p>
        </w:tc>
      </w:tr>
      <w:tr w:rsidR="009740AC" w:rsidRPr="004225D2" w:rsidTr="00974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9740AC" w:rsidRPr="004225D2" w:rsidRDefault="009740AC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4225D2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AC">
              <w:rPr>
                <w:b/>
                <w:i/>
                <w:sz w:val="16"/>
                <w:szCs w:val="16"/>
              </w:rPr>
              <w:t>63,3%</w:t>
            </w:r>
          </w:p>
        </w:tc>
        <w:tc>
          <w:tcPr>
            <w:tcW w:w="851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AC">
              <w:rPr>
                <w:b/>
                <w:i/>
                <w:sz w:val="16"/>
                <w:szCs w:val="16"/>
              </w:rPr>
              <w:t>66,7%</w:t>
            </w:r>
          </w:p>
        </w:tc>
        <w:tc>
          <w:tcPr>
            <w:tcW w:w="1276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AC">
              <w:rPr>
                <w:b/>
                <w:i/>
                <w:sz w:val="16"/>
                <w:szCs w:val="16"/>
              </w:rPr>
              <w:t>66,7%</w:t>
            </w:r>
          </w:p>
        </w:tc>
        <w:tc>
          <w:tcPr>
            <w:tcW w:w="1275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AC">
              <w:rPr>
                <w:b/>
                <w:i/>
                <w:sz w:val="16"/>
                <w:szCs w:val="16"/>
              </w:rPr>
              <w:t>66,7%</w:t>
            </w:r>
          </w:p>
        </w:tc>
        <w:tc>
          <w:tcPr>
            <w:tcW w:w="851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AC">
              <w:rPr>
                <w:b/>
                <w:i/>
                <w:sz w:val="16"/>
                <w:szCs w:val="16"/>
              </w:rPr>
              <w:t>66,7%</w:t>
            </w:r>
          </w:p>
        </w:tc>
        <w:tc>
          <w:tcPr>
            <w:tcW w:w="1134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AC">
              <w:rPr>
                <w:b/>
                <w:i/>
                <w:sz w:val="16"/>
                <w:szCs w:val="16"/>
              </w:rPr>
              <w:t>33,3%</w:t>
            </w:r>
          </w:p>
        </w:tc>
        <w:tc>
          <w:tcPr>
            <w:tcW w:w="1116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AC">
              <w:rPr>
                <w:b/>
                <w:i/>
                <w:sz w:val="16"/>
                <w:szCs w:val="16"/>
              </w:rPr>
              <w:t>40,0%</w:t>
            </w:r>
          </w:p>
        </w:tc>
        <w:tc>
          <w:tcPr>
            <w:tcW w:w="868" w:type="dxa"/>
            <w:noWrap/>
            <w:vAlign w:val="center"/>
            <w:hideMark/>
          </w:tcPr>
          <w:p w:rsidR="009740AC" w:rsidRPr="009740AC" w:rsidRDefault="009740AC" w:rsidP="00974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9740AC">
              <w:rPr>
                <w:b/>
                <w:i/>
                <w:sz w:val="16"/>
                <w:szCs w:val="16"/>
              </w:rPr>
              <w:t>57,6%</w:t>
            </w:r>
          </w:p>
        </w:tc>
      </w:tr>
    </w:tbl>
    <w:p w:rsidR="00AC4A6F" w:rsidRDefault="00AC4A6F" w:rsidP="00C213EC">
      <w:pPr>
        <w:pStyle w:val="Cuerpodelboletn"/>
        <w:rPr>
          <w:lang w:bidi="es-ES"/>
        </w:rPr>
      </w:pPr>
    </w:p>
    <w:p w:rsidR="003E5D2F" w:rsidRDefault="003E5D2F" w:rsidP="00C213EC">
      <w:pPr>
        <w:pStyle w:val="Cuerpodelboletn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965C69">
      <w:pPr>
        <w:pStyle w:val="Cuerpodelboletn"/>
        <w:sectPr w:rsidR="009E7254" w:rsidSect="0020498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633EAA">
      <w:pPr>
        <w:pStyle w:val="Ttulo3"/>
        <w:rPr>
          <w:lang w:bidi="es-ES"/>
        </w:rPr>
      </w:pPr>
      <w:r>
        <w:rPr>
          <w:lang w:bidi="es-ES"/>
        </w:rPr>
        <w:lastRenderedPageBreak/>
        <w:t>Contenidos</w:t>
      </w:r>
    </w:p>
    <w:p w:rsidR="00633EAA" w:rsidRPr="00633EAA" w:rsidRDefault="00633EAA" w:rsidP="00633EAA">
      <w:pPr>
        <w:rPr>
          <w:lang w:bidi="es-ES"/>
        </w:rPr>
      </w:pPr>
    </w:p>
    <w:p w:rsidR="00633EAA" w:rsidRDefault="00C1290B" w:rsidP="00C4050E">
      <w:pPr>
        <w:pStyle w:val="Cuerpodelboletn"/>
        <w:spacing w:line="276" w:lineRule="auto"/>
      </w:pPr>
      <w:r>
        <w:t xml:space="preserve">Además de </w:t>
      </w:r>
      <w:r w:rsidR="00347877">
        <w:t>informaciones vinculadas</w:t>
      </w:r>
      <w:r>
        <w:t xml:space="preserve"> a obligaciones de publicidad activa, </w:t>
      </w:r>
      <w:r w:rsidR="004B7401">
        <w:t>ABANCA</w:t>
      </w:r>
      <w:r>
        <w:t xml:space="preserve"> </w:t>
      </w:r>
      <w:r w:rsidR="00AA3285">
        <w:t>publica en su web</w:t>
      </w:r>
      <w:r>
        <w:t xml:space="preserve"> otras informaciones </w:t>
      </w:r>
      <w:r w:rsidR="00347877">
        <w:t xml:space="preserve">que pueden ser relevantes desde el punto de vista de la Transparencia. </w:t>
      </w:r>
    </w:p>
    <w:p w:rsidR="004225D2" w:rsidRDefault="00347877" w:rsidP="00C4050E">
      <w:pPr>
        <w:pStyle w:val="Cuerpodelboletn"/>
        <w:spacing w:line="276" w:lineRule="auto"/>
      </w:pPr>
      <w:r>
        <w:t xml:space="preserve">Así en el </w:t>
      </w:r>
      <w:r w:rsidR="004225D2">
        <w:t>enlace</w:t>
      </w:r>
      <w:r w:rsidR="00AA3285">
        <w:t xml:space="preserve"> </w:t>
      </w:r>
      <w:r w:rsidR="00AA3285" w:rsidRPr="00AA3285">
        <w:t>“</w:t>
      </w:r>
      <w:r w:rsidR="004225D2">
        <w:t>Juntas Generales de Accionistas</w:t>
      </w:r>
      <w:r w:rsidR="00AA3285" w:rsidRPr="00AA3285">
        <w:t>”</w:t>
      </w:r>
      <w:r w:rsidR="00C572A8">
        <w:t xml:space="preserve"> </w:t>
      </w:r>
      <w:r w:rsidR="004225D2">
        <w:t xml:space="preserve">se publican diversos documentos, incluidos Acuerdos e informes de funcionamiento de las Comisiones, relativos a las Juntas Generales celebradas en el periodo 2015-2019. </w:t>
      </w:r>
      <w:r w:rsidR="00C572A8">
        <w:t xml:space="preserve"> </w:t>
      </w:r>
    </w:p>
    <w:p w:rsidR="00347877" w:rsidRDefault="004225D2" w:rsidP="00C4050E">
      <w:pPr>
        <w:pStyle w:val="Cuerpodelboletn"/>
        <w:spacing w:line="276" w:lineRule="auto"/>
      </w:pPr>
      <w:r>
        <w:t xml:space="preserve">En el enlace “Estructura Organizativa” y bajo el epígrafe Conflictos de interés, se </w:t>
      </w:r>
      <w:r w:rsidR="00C572A8">
        <w:t>acce</w:t>
      </w:r>
      <w:r>
        <w:t>de</w:t>
      </w:r>
      <w:r w:rsidR="00C572A8">
        <w:t xml:space="preserve"> </w:t>
      </w:r>
      <w:r>
        <w:t>a un documento que recoge los criterios de la organización para la prevención de los conflictos de interés.</w:t>
      </w:r>
      <w:r w:rsidR="00347877">
        <w:t xml:space="preserve"> </w:t>
      </w:r>
    </w:p>
    <w:p w:rsidR="004225D2" w:rsidRDefault="00751FAA" w:rsidP="004225D2">
      <w:pPr>
        <w:pStyle w:val="Cuerpodelboletn"/>
        <w:spacing w:line="276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E5EA57" wp14:editId="175BD82F">
                <wp:simplePos x="0" y="0"/>
                <wp:positionH relativeFrom="page">
                  <wp:posOffset>-19050</wp:posOffset>
                </wp:positionH>
                <wp:positionV relativeFrom="page">
                  <wp:posOffset>993140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5pt;margin-top:78.2pt;width:630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+kCgIAAPcDAAAOAAAAZHJzL2Uyb0RvYy54bWysU1GO0zAQ/UfiDpb/aZKywCZqulq1WoS0&#10;wIqFA7iOk1g4HjN2m5bbcJa9GGOnLQX+ED+Wxx6/ee/NeHGzHwzbKfQabM2LWc6ZshIabbuaf/l8&#10;9+KaMx+EbYQBq2p+UJ7fLJ8/W4yuUnPowTQKGYFYX42u5n0IrsoyL3s1CD8DpyxdtoCDCBRilzUo&#10;RkIfTDbP89fZCNg4BKm8p9P1dMmXCb9tlQwf29arwEzNiVtIK6Z1E9dsuRBVh8L1Wh5piH9gMQht&#10;qegZai2CYFvUf0ENWiJ4aMNMwpBB22qpkgZSU+R/qHnshVNJC5nj3dkm//9g5YfdAzLd1LzkzIqB&#10;WvSJTHv6YbutAVaU0aHR+YoSH90DRo3e3YP86pmFVS9sp24RYeyVaIhXEfOz3x7EwNNTthnfQ0MF&#10;xDZAMmvf4hAByQa2Tz05nHui9oFJOrzOyZecWifprnjzsixT0zJRnV479OGtgoHFTc2R6Cd0sbv3&#10;IbIR1SklsQejmzttTAqw26wMsp2g+Vi9Wq/X8ySARF6mGRuTLcRnE+J0otKETWVERZSPFU+SJ+s2&#10;0BxIPsI0ffRbaNMDfudspMmruf+2Fag4M+8sWVgWV1dxVC8DvAw2l4GwkqBqHjibtqswjffWoe56&#10;qlQkNyzcku2tTo5EfhOrY7NoupJRx58Qx/cyTlm//uvyJwAAAP//AwBQSwMEFAAGAAgAAAAhAHSb&#10;rCzgAAAACwEAAA8AAABkcnMvZG93bnJldi54bWxMj81OwzAQhO9IvIO1SFxQ65CQNgpxqqoS4pwA&#10;Er05sZtY+CeK3cZ9e7YnuO3Ojma/qXbRaHKRs1fOMnheJ0Ck7Z1QdmDw+fG2KoD4wK3g2lnJ4Co9&#10;7Or7u4qXwi22kZc2DARDrC85gzGEqaTU96M03K/dJC3eTm42POA6D1TMfMFwo2maJBtquLL4YeST&#10;PIyy/2nPhsEx6w5R77/e29gsT+n2+9qoXDH2+BD3r0CCjOHPDDd8RIcamTp3tsITzWCVYZWAer55&#10;AXIzpPkWpQ6nIiuA1hX936H+BQAA//8DAFBLAQItABQABgAIAAAAIQC2gziS/gAAAOEBAAATAAAA&#10;AAAAAAAAAAAAAAAAAABbQ29udGVudF9UeXBlc10ueG1sUEsBAi0AFAAGAAgAAAAhADj9If/WAAAA&#10;lAEAAAsAAAAAAAAAAAAAAAAALwEAAF9yZWxzLy5yZWxzUEsBAi0AFAAGAAgAAAAhANA/b6QKAgAA&#10;9wMAAA4AAAAAAAAAAAAAAAAALgIAAGRycy9lMm9Eb2MueG1sUEsBAi0AFAAGAAgAAAAhAHSbrCz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814EFA" wp14:editId="30BFA6BC">
                <wp:simplePos x="0" y="0"/>
                <wp:positionH relativeFrom="page">
                  <wp:posOffset>-19050</wp:posOffset>
                </wp:positionH>
                <wp:positionV relativeFrom="page">
                  <wp:posOffset>-3175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40AC" w:rsidRPr="00F31BC3" w:rsidRDefault="009740AC" w:rsidP="00751FAA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FCC4E2" wp14:editId="441A13A7">
                                  <wp:extent cx="1148080" cy="648335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.5pt;margin-top:-.25pt;width:630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b6DgIAAAkEAAAOAAAAZHJzL2Uyb0RvYy54bWysU11u2zAMfh+wOwh6X2wXXZAYcYoiRYcB&#10;3Va02wFkWf7BZFGjlNjZbXaWXWyU7KTZ9jbsRSAl8iP58dPmZuw1Oyh0HZiCZ4uUM2UkVJ1pCv7l&#10;8/2bFWfOC1MJDUYV/Kgcv9m+frUZbK6uoAVdKWQEYlw+2IK33ts8SZxsVS/cAqwy9FgD9sKTi01S&#10;oRgIvdfJVZoukwGwsghSOUe3d9Mj30b8ulbSf6prpzzTBafefDwxnmU4k+1G5A0K23ZybkP8Qxe9&#10;6AwVPUPdCS/YHru/oPpOIjio/UJCn0Bdd1LFGWiaLP1jmudWWBVnIXKcPdPk/h+s/Hh4RNZVBV9y&#10;ZkRPK3oi0n7+MM1eA8tWgaHBupwCn+0jhhmdfQD51TEDu1aYRt0iwtAqUVFfWYhPfksIjqNUVg4f&#10;oKICYu8hkjXW2AdAooGNcSfH807U6Jmky1VKvKS0Oklv63W6JDuUEPkp26Lz7xT0LBgFR2o/oovD&#10;g/NT6Ckkdg+6q+47raODTbnTyA6C9PE2XS2XuxndXYZpE4INhLQJcbpRUWFTGZFTy3PF08gTdX4s&#10;x5liSg5vJVRHIgRh0iP9HzJawO+cDaTFgrtve4GKM/3eEKnr7Po6iPfSwUunvHSEkQRVcM/ZZO78&#10;JPi9xa5pqVIW+TFwS4uou8jRS1fz+khvkeX5bwRBX/ox6uUHb38BAAD//wMAUEsDBBQABgAIAAAA&#10;IQDreX6l3wAAAAkBAAAPAAAAZHJzL2Rvd25yZXYueG1sTI/NTsMwEITvlXgHa5G4tQ6hLlWIU1Ek&#10;kHrIgUKlHp14SSLidRS7bXh7tic47c+sZr/JN5PrxRnH0HnScL9IQCDV3nbUaPj8eJ2vQYRoyJre&#10;E2r4wQCb4maWm8z6C73jeR8bwSYUMqOhjXHIpAx1i86EhR+QWPvyozORx7GRdjQXNne9TJNkJZ3p&#10;iD+0ZsCXFuvv/clpOK5MddiVQ7o92vLwtix9ut4utb67nZ6fQESc4t8xXPEZHQpmqvyJbBC9hvkD&#10;R4lcFYirnKpHXlTcKaVAFrn8n6D4BQAA//8DAFBLAQItABQABgAIAAAAIQC2gziS/gAAAOEBAAAT&#10;AAAAAAAAAAAAAAAAAAAAAABbQ29udGVudF9UeXBlc10ueG1sUEsBAi0AFAAGAAgAAAAhADj9If/W&#10;AAAAlAEAAAsAAAAAAAAAAAAAAAAALwEAAF9yZWxzLy5yZWxzUEsBAi0AFAAGAAgAAAAhAGKS1voO&#10;AgAACQQAAA4AAAAAAAAAAAAAAAAALgIAAGRycy9lMm9Eb2MueG1sUEsBAi0AFAAGAAgAAAAhAOt5&#10;fqXfAAAACQEAAA8AAAAAAAAAAAAAAAAAaAQAAGRycy9kb3ducmV2LnhtbFBLBQYAAAAABAAEAPMA&#10;AAB0BQAAAAA=&#10;" fillcolor="#50866c" stroked="f">
                <v:textbox inset=",7.2pt,,7.2pt">
                  <w:txbxContent>
                    <w:p w:rsidR="00760DF4" w:rsidRPr="00F31BC3" w:rsidRDefault="00760DF4" w:rsidP="00751FAA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FCC4E2" wp14:editId="441A13A7">
                            <wp:extent cx="1148080" cy="648335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347877">
        <w:t xml:space="preserve">También en este mismo </w:t>
      </w:r>
      <w:r w:rsidR="004225D2">
        <w:t>enlace</w:t>
      </w:r>
      <w:r w:rsidR="00C572A8">
        <w:t xml:space="preserve"> se </w:t>
      </w:r>
      <w:r w:rsidR="004225D2">
        <w:t>accede a información sobre los mecanismos de control interno de ABANCA, a los criterios para la fijación de remuneraciones para quienes integran lo que la entidad denomina colectivo identificado (Altos Directivos, tomadores de riesgo, responsables en la función de control, del Banco o de las sociedades de su Grupo, así como todos aquellos que alcancen un nivel retributivo equivalente al de los Altos Directivos o tomadores de riesgos y puedan suponer un impacto sobre el perfil de riesgo de la entidad).</w:t>
      </w:r>
    </w:p>
    <w:p w:rsidR="00760DF4" w:rsidRDefault="00760DF4" w:rsidP="00C4050E">
      <w:pPr>
        <w:pStyle w:val="Cuerpodelboletn"/>
        <w:spacing w:line="276" w:lineRule="auto"/>
      </w:pPr>
      <w:r>
        <w:t>Este mismo enlace da acceso a un documento en el que se describen los procedimientos para asegurar la idoneidad de consejeros, directores generales y personal clave.</w:t>
      </w:r>
    </w:p>
    <w:p w:rsidR="00751FAA" w:rsidRDefault="00C61668" w:rsidP="00C4050E">
      <w:pPr>
        <w:pStyle w:val="Cuerpodelboletn"/>
        <w:spacing w:line="276" w:lineRule="auto"/>
      </w:pPr>
      <w:r>
        <w:lastRenderedPageBreak/>
        <w:t xml:space="preserve">En el </w:t>
      </w:r>
      <w:r w:rsidR="00760DF4">
        <w:t>enlace</w:t>
      </w:r>
      <w:r>
        <w:t xml:space="preserve"> “</w:t>
      </w:r>
      <w:r w:rsidR="00760DF4">
        <w:t>Informe Anual Corporativo</w:t>
      </w:r>
      <w:r>
        <w:t>”</w:t>
      </w:r>
      <w:r w:rsidR="00347877">
        <w:t xml:space="preserve"> </w:t>
      </w:r>
      <w:r>
        <w:t xml:space="preserve">se publican </w:t>
      </w:r>
      <w:r w:rsidR="00760DF4">
        <w:t xml:space="preserve">estos </w:t>
      </w:r>
      <w:r>
        <w:t xml:space="preserve">informes </w:t>
      </w:r>
      <w:r w:rsidR="00760DF4">
        <w:t>para los años 2015 a 2018</w:t>
      </w:r>
      <w:r>
        <w:t xml:space="preserve">. </w:t>
      </w:r>
    </w:p>
    <w:p w:rsidR="00760DF4" w:rsidRDefault="00760DF4" w:rsidP="00C4050E">
      <w:pPr>
        <w:pStyle w:val="Cuerpodelboletn"/>
        <w:spacing w:line="276" w:lineRule="auto"/>
      </w:pPr>
      <w:r>
        <w:t>En el enlace “Reglamento Interno de Conducta en el ámbito del Mercado de Valores” se proporciona un link a este documento.</w:t>
      </w:r>
    </w:p>
    <w:p w:rsidR="00C61668" w:rsidRDefault="00C61668" w:rsidP="00EA2404">
      <w:pPr>
        <w:pStyle w:val="Cuerpodelboletn"/>
        <w:spacing w:before="100" w:beforeAutospacing="1" w:after="100" w:afterAutospacing="1" w:line="276" w:lineRule="auto"/>
      </w:pPr>
      <w:r>
        <w:t xml:space="preserve">En </w:t>
      </w:r>
      <w:r w:rsidR="00760DF4">
        <w:t xml:space="preserve">el enlace “Información Financiera” </w:t>
      </w:r>
      <w:r w:rsidR="00C909CC">
        <w:t>se incluye información sobre el plazo medio de pago a proveedores</w:t>
      </w:r>
      <w:r w:rsidR="00760DF4">
        <w:t xml:space="preserve"> y un informe relativo a la solvencia de la entidad.</w:t>
      </w:r>
    </w:p>
    <w:p w:rsidR="00965C69" w:rsidRDefault="00633EAA" w:rsidP="00EA2404">
      <w:pPr>
        <w:pStyle w:val="Ttulo3"/>
        <w:spacing w:before="100" w:beforeAutospacing="1" w:after="100" w:afterAutospacing="1" w:line="276" w:lineRule="auto"/>
      </w:pPr>
      <w:r w:rsidRPr="00894358">
        <w:rPr>
          <w:lang w:bidi="es-ES"/>
        </w:rPr>
        <w:t>Análisis de la información</w:t>
      </w:r>
      <w:r>
        <w:rPr>
          <w:lang w:bidi="es-ES"/>
        </w:rPr>
        <w:t>.</w:t>
      </w:r>
    </w:p>
    <w:p w:rsidR="00355DC0" w:rsidRDefault="00355DC0" w:rsidP="00EA2404">
      <w:pPr>
        <w:pStyle w:val="Cuerpodelboletn"/>
        <w:spacing w:before="100" w:beforeAutospacing="1" w:after="100" w:afterAutospacing="1" w:line="276" w:lineRule="auto"/>
      </w:pPr>
      <w:r>
        <w:t xml:space="preserve">Toda la información adicional publicada por </w:t>
      </w:r>
      <w:r w:rsidR="004B7401">
        <w:t>ABANCA</w:t>
      </w:r>
      <w:r>
        <w:t xml:space="preserve"> puede considerarse relevante desde el punto de vista de la transparencia. Se trata de información que acredita el esfuerzo de la organización por hacer más transparente su gestión. </w:t>
      </w:r>
    </w:p>
    <w:p w:rsidR="008E4D4C" w:rsidRDefault="008E4D4C" w:rsidP="00C4050E">
      <w:pPr>
        <w:pStyle w:val="Cuerpodelboletn"/>
        <w:spacing w:line="276" w:lineRule="auto"/>
      </w:pPr>
      <w:r>
        <w:t>No obstante hay que señalar que la publicación del plazo medio de pago a proveedores deriva de una obligación legal establecida por la Ley 15/2010 d</w:t>
      </w:r>
      <w:r w:rsidRPr="008E4D4C">
        <w:t>e modificación de la Ley 3/2004, de 29 de diciembre, por la que se establecen medidas de lucha contra la morosidad en las operaciones comerciales</w:t>
      </w:r>
      <w:r>
        <w:t>.</w:t>
      </w:r>
    </w:p>
    <w:p w:rsidR="00A73313" w:rsidRDefault="00A73313" w:rsidP="00C4050E">
      <w:pPr>
        <w:pStyle w:val="Cuerpodelboletn"/>
        <w:spacing w:line="276" w:lineRule="auto"/>
      </w:pPr>
      <w:r>
        <w:t>Por otra parte la publicación del Informe Anual de Gobierno Corporativo deriva de una obligación establecida por la CNMV en su circular 7/2015.</w:t>
      </w:r>
    </w:p>
    <w:p w:rsidR="00C259F4" w:rsidRDefault="004C7002" w:rsidP="00666F96">
      <w:pPr>
        <w:pStyle w:val="Cuerpodelboletn"/>
        <w:spacing w:line="276" w:lineRule="auto"/>
      </w:pPr>
      <w:r>
        <w:t xml:space="preserve">Por último es importante destacar como </w:t>
      </w:r>
      <w:r w:rsidRPr="004C7002">
        <w:rPr>
          <w:b/>
        </w:rPr>
        <w:t>Buena Práctica</w:t>
      </w:r>
      <w:r>
        <w:t xml:space="preserve"> la publicación de las funciones de las Comisiones así como de sus Reglamentos de funcionamiento interno.</w:t>
      </w:r>
    </w:p>
    <w:p w:rsidR="001870CE" w:rsidRDefault="001870CE" w:rsidP="00666F96">
      <w:pPr>
        <w:pStyle w:val="Cuerpodelboletn"/>
        <w:spacing w:line="276" w:lineRule="auto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20498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20498F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61E7F" w:rsidP="00EA2404">
      <w:pPr>
        <w:pStyle w:val="Sinespaciado"/>
        <w:spacing w:before="100" w:beforeAutospacing="1" w:after="100" w:afterAutospacing="1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4B7401">
        <w:rPr>
          <w:rFonts w:ascii="Century Gothic" w:hAnsi="Century Gothic"/>
        </w:rPr>
        <w:t>ABANCA</w:t>
      </w:r>
      <w:r>
        <w:rPr>
          <w:rFonts w:ascii="Century Gothic" w:hAnsi="Century Gothic"/>
        </w:rPr>
        <w:t xml:space="preserve">, en función de la información disponible en la web de la entidad relacionada con estas obligaciones, puede considerarse </w:t>
      </w:r>
      <w:r w:rsidR="00E115A6">
        <w:rPr>
          <w:rFonts w:ascii="Century Gothic" w:hAnsi="Century Gothic"/>
        </w:rPr>
        <w:t>medio</w:t>
      </w:r>
      <w:r>
        <w:rPr>
          <w:rFonts w:ascii="Century Gothic" w:hAnsi="Century Gothic"/>
        </w:rPr>
        <w:t xml:space="preserve">. </w:t>
      </w:r>
    </w:p>
    <w:p w:rsidR="00C61E7F" w:rsidRDefault="00E115A6" w:rsidP="00EA2404">
      <w:pPr>
        <w:pStyle w:val="Sinespaciado"/>
        <w:spacing w:before="100" w:beforeAutospacing="1" w:after="100" w:afterAutospacing="1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Sin embargo </w:t>
      </w:r>
      <w:r w:rsidR="004B7401">
        <w:rPr>
          <w:rFonts w:ascii="Century Gothic" w:hAnsi="Century Gothic"/>
        </w:rPr>
        <w:t>ABANCA</w:t>
      </w:r>
      <w:r>
        <w:rPr>
          <w:rFonts w:ascii="Century Gothic" w:hAnsi="Century Gothic"/>
        </w:rPr>
        <w:t xml:space="preserve"> publica </w:t>
      </w:r>
      <w:r w:rsidR="00C61E7F">
        <w:rPr>
          <w:rFonts w:ascii="Century Gothic" w:hAnsi="Century Gothic"/>
        </w:rPr>
        <w:t xml:space="preserve">distintas informaciones </w:t>
      </w:r>
      <w:r w:rsidR="004C7002">
        <w:rPr>
          <w:rFonts w:ascii="Century Gothic" w:hAnsi="Century Gothic"/>
        </w:rPr>
        <w:t xml:space="preserve">adicionales </w:t>
      </w:r>
      <w:r w:rsidR="00C61E7F">
        <w:rPr>
          <w:rFonts w:ascii="Century Gothic" w:hAnsi="Century Gothic"/>
        </w:rPr>
        <w:t xml:space="preserve">relevantes desde el punto de vista de la transparencia </w:t>
      </w:r>
      <w:r>
        <w:rPr>
          <w:rFonts w:ascii="Century Gothic" w:hAnsi="Century Gothic"/>
        </w:rPr>
        <w:t>lo que acredita su compromiso con la transparencia</w:t>
      </w:r>
      <w:r w:rsidR="00C61E7F">
        <w:rPr>
          <w:rFonts w:ascii="Century Gothic" w:hAnsi="Century Gothic"/>
        </w:rPr>
        <w:t xml:space="preserve">.  </w:t>
      </w:r>
    </w:p>
    <w:p w:rsidR="00E115A6" w:rsidRDefault="00E115A6" w:rsidP="00EA2404">
      <w:pPr>
        <w:pStyle w:val="Sinespaciado"/>
        <w:spacing w:before="100" w:beforeAutospacing="1" w:after="100" w:afterAutospacing="1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esta razón es presumible que el incumplimiento de algunas de las obligaciones de publicidad activa establecidas por la LTAIBG, se deba al desconocimiento de que tales obligaciones son aplicables a la entidad como consecuencia de las subvenciones recibidas en 2019.</w:t>
      </w:r>
    </w:p>
    <w:p w:rsidR="00C61E7F" w:rsidRDefault="00C61E7F" w:rsidP="00EA2404">
      <w:pPr>
        <w:spacing w:before="100" w:beforeAutospacing="1" w:after="100" w:afterAutospacing="1" w:line="276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 xml:space="preserve">Para procurar avances en el grado de cumplimiento de la LTAIBG por parte de </w:t>
      </w:r>
      <w:r w:rsidR="004C7002">
        <w:t>ABANCA</w:t>
      </w:r>
      <w:r>
        <w:t xml:space="preserve"> este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C61E7F" w:rsidRDefault="000A5E0F" w:rsidP="00EA2404">
      <w:pPr>
        <w:pStyle w:val="Ttulo3"/>
        <w:spacing w:before="100" w:beforeAutospacing="1" w:after="100" w:afterAutospacing="1"/>
      </w:pPr>
      <w:r>
        <w:t xml:space="preserve">Localización y </w:t>
      </w:r>
      <w:r w:rsidR="00C61E7F" w:rsidRPr="000E1D9B">
        <w:t xml:space="preserve">Estructuración </w:t>
      </w:r>
    </w:p>
    <w:p w:rsidR="00E115A6" w:rsidRPr="00E115A6" w:rsidRDefault="00E115A6" w:rsidP="00EA2404">
      <w:pPr>
        <w:spacing w:before="100" w:beforeAutospacing="1" w:after="100" w:afterAutospacing="1" w:line="276" w:lineRule="auto"/>
        <w:jc w:val="both"/>
      </w:pPr>
      <w:r>
        <w:t xml:space="preserve">Sería deseable que se articulase un espacio diferenciado, por ejemplo en el acceso </w:t>
      </w:r>
      <w:r w:rsidR="00A41A4C">
        <w:t>Gobierno Corporativo y Política de remuneraciones</w:t>
      </w:r>
      <w:r>
        <w:t xml:space="preserve">, en el que se contemple toda la información obligatoria  exigida por la LTAIBG.  </w:t>
      </w:r>
    </w:p>
    <w:p w:rsidR="0019448F" w:rsidRDefault="00E115A6" w:rsidP="00EA2404">
      <w:pPr>
        <w:pStyle w:val="Sinespaciado"/>
        <w:spacing w:before="100" w:beforeAutospacing="1" w:after="100" w:afterAutospacing="1"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19448F" w:rsidRPr="0019448F">
        <w:rPr>
          <w:rFonts w:ascii="Century Gothic" w:hAnsi="Century Gothic"/>
        </w:rPr>
        <w:t xml:space="preserve">ería deseable </w:t>
      </w:r>
      <w:r>
        <w:rPr>
          <w:rFonts w:ascii="Century Gothic" w:hAnsi="Century Gothic"/>
        </w:rPr>
        <w:t xml:space="preserve"> esta información </w:t>
      </w:r>
      <w:r w:rsidR="0019448F" w:rsidRPr="0019448F">
        <w:rPr>
          <w:rFonts w:ascii="Century Gothic" w:hAnsi="Century Gothic"/>
        </w:rPr>
        <w:t xml:space="preserve">se ajustase a la estructura que propone la LTAIBG, lo que facilitaría aún más la búsqueda de </w:t>
      </w:r>
      <w:r w:rsidR="0019448F" w:rsidRPr="0019448F">
        <w:rPr>
          <w:rFonts w:ascii="Century Gothic" w:hAnsi="Century Gothic"/>
        </w:rPr>
        <w:lastRenderedPageBreak/>
        <w:t>información a los ciudadanos, que lógicamente utilizan co</w:t>
      </w:r>
      <w:r w:rsidR="000A5E0F">
        <w:rPr>
          <w:rFonts w:ascii="Century Gothic" w:hAnsi="Century Gothic"/>
        </w:rPr>
        <w:t>mo</w:t>
      </w:r>
      <w:r w:rsidR="0019448F"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C61E7F" w:rsidRDefault="00C4050E" w:rsidP="00EA2404">
      <w:pPr>
        <w:pStyle w:val="Sinespaciado"/>
        <w:spacing w:before="100" w:beforeAutospacing="1" w:after="100" w:afterAutospacing="1" w:line="276" w:lineRule="auto"/>
        <w:jc w:val="both"/>
        <w:rPr>
          <w:rFonts w:ascii="Century Gothic" w:hAnsi="Century Gothi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90DAF8" wp14:editId="0B2D5781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/NCQ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/IHit6&#10;6tEncu3ph213BlixiBYNzpeU+egeMIr07h7kV88srDthW3WLCEOnRE3Eipif/fYgBp6esu3wHmoq&#10;IHYBkluHBvsISD6wQ2rK8dIUdQhM0uF1TsbkRE7SXfHm5WKRupaJ8vzaoQ9vFfQsbiqORD+hi/29&#10;D5GNKM8piT0YXd9pY1KA7XZtkO0FDcj61WazmScBJHKaZmxMthCfjYjjiUojNpYRJVE+VTxLHq3b&#10;Qn0k+Qjj+NF3oU0H+J2zgUav4v7bTqDizLyzZOGiuLqKszoNcBpsp4GwkqAqHjgbt+swzvfOoW47&#10;qlQkNyzcku2NTo5EfiOrU7NovJJRp68Q53cap6xfH3b1EwAA//8DAFBLAwQUAAYACAAAACEAf+P9&#10;ON0AAAAKAQAADwAAAGRycy9kb3ducmV2LnhtbExPQU7DMBC8I/EHa5G4IOqQKm0JcaqqEuKcFCS4&#10;OfGSWMR2FLuN+3s2Jzjtzs5oZrbYRzOwC05eOyvgaZUAQ9s6pW0n4P30+rgD5oO0Sg7OooAretiX&#10;tzeFzJWbbYWXOnSMTKzPpYA+hDHn3Lc9GulXbkRL3LebjAwEp46rSc5kbgaeJsmGG6ktJfRyxGOP&#10;7U99NgK+1s0xDoePtzpW80O6/bxWOtNC3N/FwwuwgDH8iWGpT9WhpE6NO1vl2UA4I+Eyts/AFj7d&#10;LKeGtl22Bl4W/P8L5S8AAAD//wMAUEsBAi0AFAAGAAgAAAAhALaDOJL+AAAA4QEAABMAAAAAAAAA&#10;AAAAAAAAAAAAAFtDb250ZW50X1R5cGVzXS54bWxQSwECLQAUAAYACAAAACEAOP0h/9YAAACUAQAA&#10;CwAAAAAAAAAAAAAAAAAvAQAAX3JlbHMvLnJlbHNQSwECLQAUAAYACAAAACEAkzWvzQkCAAD4AwAA&#10;DgAAAAAAAAAAAAAAAAAuAgAAZHJzL2Uyb0RvYy54bWxQSwECLQAUAAYACAAAACEAf+P9ON0AAAAK&#10;AQAADwAAAAAAAAAAAAAAAABjBAAAZHJzL2Rvd25yZXYueG1sUEsFBgAAAAAEAAQA8wAAAG0FAAAA&#10;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82A9A2" wp14:editId="60B2876A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40AC" w:rsidRPr="00F31BC3" w:rsidRDefault="009740AC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6AD0399" wp14:editId="566FDAAC">
                                  <wp:extent cx="1148080" cy="6483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75pt;margin-top:.5pt;width:630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G6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nS/m880R3V+GGRuDLcS0CXG6UWnDpjKiJMrHiqeWJ+nCvt4n&#10;id+cxKyhOZAgCNM+0v8howf8ztlIu1hx/20rUHFm3lkSdVlcX8flvXTw0qkvHWElQVU8cDaZmzAt&#10;/Nah7nqqVCR9LNzSIFqdNIqMJ1bH8dG+JZWPfyMu9KWfon794PUzAAAA//8DAFBLAwQUAAYACAAA&#10;ACEATzHo49oAAAAIAQAADwAAAGRycy9kb3ducmV2LnhtbExPTUvDQBC9C/6HZQRvdmOotcRsihUU&#10;PORgtdDjJDsmwexsyG7b+O+dnOxpeB+8eS/fTK5XJxpD59nA/SIBRVx723Fj4Ovz9W4NKkRki71n&#10;MvBLATbF9VWOmfVn/qDTLjZKQjhkaKCNcci0DnVLDsPCD8SiffvRYRQ4NtqOeJZw1+s0SVbaYcfy&#10;ocWBXlqqf3ZHZ+Cwwmr/Xg7p9mDL/duy9Ol6uzTm9mZ6fgIVaYr/ZpjrS3UopFPlj2yD6gU/iFGO&#10;DJrVdDUT1cw/JqCLXF8OKP4AAAD//wMAUEsBAi0AFAAGAAgAAAAhALaDOJL+AAAA4QEAABMAAAAA&#10;AAAAAAAAAAAAAAAAAFtDb250ZW50X1R5cGVzXS54bWxQSwECLQAUAAYACAAAACEAOP0h/9YAAACU&#10;AQAACwAAAAAAAAAAAAAAAAAvAQAAX3JlbHMvLnJlbHNQSwECLQAUAAYACAAAACEAOxphug8CAAAJ&#10;BAAADgAAAAAAAAAAAAAAAAAuAgAAZHJzL2Uyb0RvYy54bWxQSwECLQAUAAYACAAAACEATzHo49oA&#10;AAAIAQAADwAAAAAAAAAAAAAAAABpBAAAZHJzL2Rvd25yZXYueG1sUEsFBgAAAAAEAAQA8wAAAHAF&#10;AAAAAA==&#10;" fillcolor="#50866c" stroked="f">
                <v:textbox inset=",7.2pt,,7.2pt">
                  <w:txbxContent>
                    <w:p w:rsidR="00760DF4" w:rsidRPr="00F31BC3" w:rsidRDefault="00760DF4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6AD0399" wp14:editId="566FDAAC">
                            <wp:extent cx="1148080" cy="6483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C56FCF" w:rsidRPr="00C56FCF">
        <w:rPr>
          <w:rFonts w:ascii="Century Gothic" w:hAnsi="Century Gothic"/>
        </w:rPr>
        <w:t>La presentación de la información conforme al patrón definido por la LTAIBG, permitiría además,</w:t>
      </w:r>
      <w:r w:rsidR="00C61E7F" w:rsidRPr="000E1D9B">
        <w:rPr>
          <w:rFonts w:ascii="Century Gothic" w:hAnsi="Century Gothic"/>
        </w:rPr>
        <w:t xml:space="preserve"> identificar las obligaciones respecto de las que no se publica información por no 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C61E7F" w:rsidRDefault="00C61E7F" w:rsidP="00EA2404">
      <w:pPr>
        <w:pStyle w:val="Ttulo2"/>
        <w:spacing w:before="100" w:beforeAutospacing="1" w:after="100" w:afterAutospacing="1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Pr="0019448F" w:rsidRDefault="00C61E7F" w:rsidP="00EA2404">
      <w:pPr>
        <w:pStyle w:val="Ttulo2"/>
        <w:keepNext w:val="0"/>
        <w:keepLines w:val="0"/>
        <w:spacing w:before="100" w:beforeAutospacing="1" w:after="100" w:afterAutospacing="1"/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Institucional</w:t>
      </w:r>
      <w:r w:rsidR="0019448F" w:rsidRPr="0019448F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</w:t>
      </w:r>
      <w:r w:rsidRPr="0019448F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Organizativa </w:t>
      </w:r>
    </w:p>
    <w:p w:rsidR="0019448F" w:rsidRDefault="00C61E7F" w:rsidP="00EA2404">
      <w:pPr>
        <w:pStyle w:val="Sinespaciado"/>
        <w:numPr>
          <w:ilvl w:val="0"/>
          <w:numId w:val="11"/>
        </w:numPr>
        <w:spacing w:after="200" w:line="276" w:lineRule="auto"/>
        <w:ind w:left="357" w:hanging="357"/>
        <w:jc w:val="both"/>
        <w:rPr>
          <w:rFonts w:ascii="Century Gothic" w:hAnsi="Century Gothic"/>
        </w:rPr>
      </w:pPr>
      <w:r w:rsidRPr="002F74E8">
        <w:rPr>
          <w:rFonts w:ascii="Century Gothic" w:hAnsi="Century Gothic"/>
        </w:rPr>
        <w:t>Debería</w:t>
      </w:r>
      <w:r w:rsidR="0019448F">
        <w:rPr>
          <w:rFonts w:ascii="Century Gothic" w:hAnsi="Century Gothic"/>
        </w:rPr>
        <w:t xml:space="preserve"> </w:t>
      </w:r>
      <w:r w:rsidR="00E115A6">
        <w:rPr>
          <w:rFonts w:ascii="Century Gothic" w:hAnsi="Century Gothic"/>
        </w:rPr>
        <w:t xml:space="preserve">publicarse </w:t>
      </w:r>
      <w:r w:rsidR="006A3508">
        <w:rPr>
          <w:rFonts w:ascii="Century Gothic" w:hAnsi="Century Gothic"/>
        </w:rPr>
        <w:t>una descripción de las funciones que con carácter general desarrolla la entidad.</w:t>
      </w:r>
    </w:p>
    <w:p w:rsidR="006B1B95" w:rsidRDefault="006B1B95" w:rsidP="00EA2404">
      <w:pPr>
        <w:pStyle w:val="Sinespaciado"/>
        <w:numPr>
          <w:ilvl w:val="0"/>
          <w:numId w:val="11"/>
        </w:numPr>
        <w:spacing w:after="200" w:line="276" w:lineRule="auto"/>
        <w:ind w:left="357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Finalmente aunque se publican los Estatutos y diversos reglamentos internos, sería deseable que ABANCA publicase la normativa que con carácter general regula las actividades de la entidad.</w:t>
      </w:r>
    </w:p>
    <w:p w:rsidR="00C61E7F" w:rsidRPr="0019448F" w:rsidRDefault="00C61E7F" w:rsidP="00EA2404">
      <w:pPr>
        <w:pStyle w:val="Sinespaciado"/>
        <w:spacing w:before="100" w:beforeAutospacing="1" w:after="100" w:afterAutospacing="1"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C61E7F" w:rsidRDefault="00C61E7F" w:rsidP="00EA2404">
      <w:pPr>
        <w:pStyle w:val="Sinespaciado"/>
        <w:numPr>
          <w:ilvl w:val="0"/>
          <w:numId w:val="11"/>
        </w:numPr>
        <w:spacing w:after="200" w:line="276" w:lineRule="auto"/>
        <w:ind w:left="357" w:hanging="357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relación de los </w:t>
      </w:r>
      <w:r w:rsidR="00536832" w:rsidRPr="00EA2404">
        <w:rPr>
          <w:rFonts w:ascii="Century Gothic" w:hAnsi="Century Gothic"/>
        </w:rPr>
        <w:t xml:space="preserve">contratos celebrados </w:t>
      </w:r>
      <w:r w:rsidRPr="00EA2404">
        <w:rPr>
          <w:rFonts w:ascii="Century Gothic" w:hAnsi="Century Gothic"/>
        </w:rPr>
        <w:t xml:space="preserve"> </w:t>
      </w:r>
      <w:r w:rsidR="00536832" w:rsidRPr="00EA2404">
        <w:rPr>
          <w:rFonts w:ascii="Century Gothic" w:hAnsi="Century Gothic"/>
        </w:rPr>
        <w:t xml:space="preserve">por la entidad con una administración pública, incluidos los contratos menores. Dicha publicación </w:t>
      </w:r>
      <w:r w:rsidR="00C4050E" w:rsidRPr="00EA2404">
        <w:rPr>
          <w:rFonts w:ascii="Century Gothic" w:hAnsi="Century Gothic"/>
        </w:rPr>
        <w:t>d</w:t>
      </w:r>
      <w:r w:rsidR="00536832" w:rsidRPr="00EA2404">
        <w:rPr>
          <w:rFonts w:ascii="Century Gothic" w:hAnsi="Century Gothic"/>
        </w:rPr>
        <w:t xml:space="preserve">ebería incluir los siguientes elementos: </w:t>
      </w:r>
      <w:r w:rsidR="00536832" w:rsidRPr="00536832">
        <w:rPr>
          <w:rFonts w:ascii="Century Gothic" w:hAnsi="Century Gothic"/>
        </w:rPr>
        <w:t>objeto, duración, importe de licitación y de adjudicación</w:t>
      </w:r>
      <w:r w:rsidRPr="00536832">
        <w:rPr>
          <w:rFonts w:ascii="Century Gothic" w:hAnsi="Century Gothic"/>
        </w:rPr>
        <w:t>.</w:t>
      </w:r>
    </w:p>
    <w:p w:rsidR="00CB4CB5" w:rsidRPr="00EA2404" w:rsidRDefault="00CB4CB5" w:rsidP="00EA2404">
      <w:pPr>
        <w:pStyle w:val="Sinespaciado"/>
        <w:numPr>
          <w:ilvl w:val="0"/>
          <w:numId w:val="11"/>
        </w:numPr>
        <w:spacing w:after="200" w:line="276" w:lineRule="auto"/>
        <w:ind w:left="357" w:hanging="357"/>
        <w:jc w:val="both"/>
        <w:rPr>
          <w:rFonts w:ascii="Century Gothic" w:hAnsi="Century Gothic"/>
        </w:rPr>
      </w:pPr>
      <w:r w:rsidRPr="00EA2404">
        <w:rPr>
          <w:rFonts w:ascii="Century Gothic" w:hAnsi="Century Gothic"/>
        </w:rPr>
        <w:t xml:space="preserve">Deben publicarse los Convenios celebrados con administraciones públicas con mención de las partes </w:t>
      </w:r>
      <w:r w:rsidRPr="00EA2404">
        <w:rPr>
          <w:rFonts w:ascii="Century Gothic" w:hAnsi="Century Gothic"/>
        </w:rPr>
        <w:lastRenderedPageBreak/>
        <w:t>firmantes, su objeto, plazo de duración y en su caso, las obligaciones económicas convenidas.</w:t>
      </w:r>
    </w:p>
    <w:p w:rsidR="00B85EA1" w:rsidRPr="009740AC" w:rsidRDefault="00F355EF" w:rsidP="00EA2404">
      <w:pPr>
        <w:pStyle w:val="Sinespaciado"/>
        <w:numPr>
          <w:ilvl w:val="0"/>
          <w:numId w:val="11"/>
        </w:numPr>
        <w:spacing w:after="200" w:line="276" w:lineRule="auto"/>
        <w:ind w:left="357" w:hanging="357"/>
        <w:jc w:val="both"/>
        <w:rPr>
          <w:rFonts w:ascii="Century Gothic" w:hAnsi="Century Gothic"/>
        </w:rPr>
      </w:pPr>
      <w:r w:rsidRPr="00EA2404"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316976" wp14:editId="20A7A04C">
                <wp:simplePos x="0" y="0"/>
                <wp:positionH relativeFrom="page">
                  <wp:posOffset>-13335</wp:posOffset>
                </wp:positionH>
                <wp:positionV relativeFrom="page">
                  <wp:posOffset>981075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05pt;margin-top:77.25pt;width:630pt;height:13.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eZCgIAAPc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EZZ1b0&#10;1KIvZNrTT9tuDbBiHh0anC8p8cHdY9To3R3Ib55ZWHXCtuoGEYZOiZp4FTE/e/YgBp6ess3wEWoq&#10;ILYBkln7BvsISDawferJ4dwTtQ9M0uFVTr7k1DpJd8W71/N5alomytNrhz68V9CzuKk4Ev2ELnZ3&#10;PkQ2ojylJPZgdH2rjUkBtpuVQbYTNB+rN+v1epoEkMjLNGNjsoX4bEQcT1SasLGMKInyseJJ8mjd&#10;BuoDyUcYp49+C206wB+cDTR5FffftwIVZ+aDJQvnxWwWR/UywMtgcxkIKwmq4oGzcbsK43hvHeq2&#10;o0pFcsPCDdne6ORI5DeyOjaLpisZdfwJcXwv45T1+78ufwEAAP//AwBQSwMEFAAGAAgAAAAhAFx1&#10;yHnhAAAACwEAAA8AAABkcnMvZG93bnJldi54bWxMj8tOwzAQRfdI/IM1SGxQ6yQQ2oY4VVUJsU4A&#10;qd05sUks7HEUu43797grupvH0Z0z5TYYTc5ycsoig3SZAJHYWaGwZ/D1+b5YA3Geo+DaomRwkQ62&#10;1f1dyQthZ6zlufE9iSHoCs5g8H4sKHXdIA13SztKjLsfOxnuYzv1VEx8juFG0yxJXqnhCuOFgY9y&#10;P8jutzkZBsfndh/07vujCfX8lK0Ol1rlirHHh7B7A+Jl8P8wXPWjOlTRqbUnFI5oBossjWSc5y85&#10;kCuQ5asNkDZW63QDtCrp7Q/VHwAAAP//AwBQSwECLQAUAAYACAAAACEAtoM4kv4AAADhAQAAEwAA&#10;AAAAAAAAAAAAAAAAAAAAW0NvbnRlbnRfVHlwZXNdLnhtbFBLAQItABQABgAIAAAAIQA4/SH/1gAA&#10;AJQBAAALAAAAAAAAAAAAAAAAAC8BAABfcmVscy8ucmVsc1BLAQItABQABgAIAAAAIQD+Z9eZCgIA&#10;APcDAAAOAAAAAAAAAAAAAAAAAC4CAABkcnMvZTJvRG9jLnhtbFBLAQItABQABgAIAAAAIQBcdch5&#10;4QAAAAsBAAAPAAAAAAAAAAAAAAAAAGQ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EA2404"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BD4193" wp14:editId="4C89868F">
                <wp:simplePos x="0" y="0"/>
                <wp:positionH relativeFrom="page">
                  <wp:posOffset>-13335</wp:posOffset>
                </wp:positionH>
                <wp:positionV relativeFrom="page">
                  <wp:posOffset>-15240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40AC" w:rsidRPr="00F31BC3" w:rsidRDefault="009740AC" w:rsidP="00F355E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8B05122" wp14:editId="5F2547D0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1.05pt;margin-top:-1.2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yiDg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NWdW&#10;DDSiTyTazx+22xpgxSIqNDpfUuCTe8TYo3cPIL96ZmHTC9upW0QYeyUa4lXE+Oy3hOh4SmX1+B4a&#10;KiC2AZJY+xaHCEgysH2ayeE8E7UPTNLlIiddchqdpLflMp+THUuI8pTt0Ie3CgYWjYoj0U/oYvfg&#10;wxR6CknswejmXhuTHOzqjUG2E7Qfb/LFfL45ovvLMGNjsIWYNiFONypt2FRGlET5WPHU8iRd2Nf7&#10;JPFZzBqaAwmCMO0j/R8yesDvnI20ixX337YCFWfmnSVRl8X1dVzeSwcvnfrSEVYSVMUDZ5O5CdPC&#10;bx3qrqdKRdLHwi0NotVJo8h4YnUcH+1bUvn4N+JCX/op6tcPXj8DAAD//wMAUEsDBBQABgAIAAAA&#10;IQBhrPSK4AAAAAoBAAAPAAAAZHJzL2Rvd25yZXYueG1sTI9BT4NAEIXvJv6HzZh4a5cixYosjTXR&#10;xAMHq016HNgRiOwsYbct/nuXk55mJu/lzffy7WR6cabRdZYVrJYRCOLa6o4bBZ8fL4sNCOeRNfaW&#10;ScEPOdgW11c5Ztpe+J3Oe9+IEMIuQwWt90MmpatbMuiWdiAO2pcdDfpwjo3UI15CuOllHEWpNNhx&#10;+NDiQM8t1d/7k1FwTLE6vJVDvDvq8vCalDbe7BKlbm+mp0cQnib/Z4YZP6BDEZgqe2LtRK9gEa+C&#10;c54JiFmP1/cPIKqwre9SkEUu/1cofgEAAP//AwBQSwECLQAUAAYACAAAACEAtoM4kv4AAADhAQAA&#10;EwAAAAAAAAAAAAAAAAAAAAAAW0NvbnRlbnRfVHlwZXNdLnhtbFBLAQItABQABgAIAAAAIQA4/SH/&#10;1gAAAJQBAAALAAAAAAAAAAAAAAAAAC8BAABfcmVscy8ucmVsc1BLAQItABQABgAIAAAAIQCMziyi&#10;DgIAAAkEAAAOAAAAAAAAAAAAAAAAAC4CAABkcnMvZTJvRG9jLnhtbFBLAQItABQABgAIAAAAIQBh&#10;rPSK4AAAAAoBAAAPAAAAAAAAAAAAAAAAAGgEAABkcnMvZG93bnJldi54bWxQSwUGAAAAAAQABADz&#10;AAAAdQUAAAAA&#10;" fillcolor="#50866c" stroked="f">
                <v:textbox inset=",7.2pt,,7.2pt">
                  <w:txbxContent>
                    <w:p w:rsidR="00F355EF" w:rsidRPr="00F31BC3" w:rsidRDefault="00F355EF" w:rsidP="00F355E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8B05122" wp14:editId="5F2547D0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CB4CB5" w:rsidRPr="00EA2404">
        <w:rPr>
          <w:rFonts w:ascii="Century Gothic" w:hAnsi="Century Gothic"/>
        </w:rPr>
        <w:t>Debe publicarse la información sobre las subvenciones</w:t>
      </w:r>
      <w:r w:rsidR="00CB4CB5" w:rsidRPr="00CB4CB5">
        <w:t xml:space="preserve"> </w:t>
      </w:r>
      <w:r w:rsidR="00CB4CB5" w:rsidRPr="009740AC">
        <w:rPr>
          <w:rFonts w:ascii="Century Gothic" w:hAnsi="Century Gothic"/>
        </w:rPr>
        <w:t>recibidas, con indicación de su importe, objetivo o finalidad y Administración Pública concedente</w:t>
      </w:r>
      <w:r w:rsidR="00B85EA1" w:rsidRPr="009740AC">
        <w:rPr>
          <w:rFonts w:ascii="Century Gothic" w:hAnsi="Century Gothic"/>
        </w:rPr>
        <w:t>.</w:t>
      </w:r>
    </w:p>
    <w:p w:rsidR="00CB4CB5" w:rsidRDefault="00CB4CB5" w:rsidP="00CB4CB5">
      <w:pPr>
        <w:pStyle w:val="Sinespaciado"/>
        <w:spacing w:line="276" w:lineRule="auto"/>
        <w:ind w:left="360"/>
        <w:jc w:val="both"/>
      </w:pPr>
      <w:r w:rsidRPr="00C4050E">
        <w:rPr>
          <w:rFonts w:ascii="Century Gothic" w:hAnsi="Century Gothic"/>
        </w:rPr>
        <w:t xml:space="preserve"> </w:t>
      </w:r>
    </w:p>
    <w:p w:rsidR="00CB4CB5" w:rsidRDefault="00CB4CB5" w:rsidP="00CB4CB5">
      <w:pPr>
        <w:pStyle w:val="Ttulo2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Información.</w:t>
      </w:r>
    </w:p>
    <w:p w:rsidR="00CB4CB5" w:rsidRPr="00CB4CB5" w:rsidRDefault="00CB4CB5" w:rsidP="00CB4CB5">
      <w:pPr>
        <w:spacing w:line="276" w:lineRule="auto"/>
        <w:jc w:val="both"/>
      </w:pPr>
    </w:p>
    <w:p w:rsidR="00CB4CB5" w:rsidRDefault="00CB4CB5" w:rsidP="00EA2404">
      <w:pPr>
        <w:pStyle w:val="Sinespaciado"/>
        <w:numPr>
          <w:ilvl w:val="0"/>
          <w:numId w:val="11"/>
        </w:numPr>
        <w:spacing w:after="200" w:line="276" w:lineRule="auto"/>
        <w:ind w:left="357" w:hanging="357"/>
        <w:jc w:val="both"/>
        <w:rPr>
          <w:rFonts w:ascii="Century Gothic" w:hAnsi="Century Gothic"/>
        </w:rPr>
      </w:pPr>
      <w:r w:rsidRPr="00401DBB">
        <w:rPr>
          <w:rFonts w:ascii="Century Gothic" w:hAnsi="Century Gothic"/>
        </w:rPr>
        <w:t xml:space="preserve">Debe </w:t>
      </w:r>
      <w:r w:rsidRPr="00EA2404">
        <w:rPr>
          <w:rFonts w:ascii="Century Gothic" w:hAnsi="Century Gothic"/>
        </w:rPr>
        <w:t xml:space="preserve">ofrecerse la información en formatos reutilizables. </w:t>
      </w:r>
    </w:p>
    <w:p w:rsidR="00965C69" w:rsidRPr="00401DBB" w:rsidRDefault="00CB4CB5" w:rsidP="00EA2404">
      <w:pPr>
        <w:pStyle w:val="Sinespaciado"/>
        <w:numPr>
          <w:ilvl w:val="0"/>
          <w:numId w:val="11"/>
        </w:numPr>
        <w:spacing w:after="200" w:line="276" w:lineRule="auto"/>
        <w:ind w:left="357" w:hanging="357"/>
        <w:jc w:val="both"/>
        <w:rPr>
          <w:rFonts w:ascii="Century Gothic" w:hAnsi="Century Gothic"/>
        </w:rPr>
      </w:pPr>
      <w:r w:rsidRPr="00EA2404">
        <w:rPr>
          <w:rFonts w:ascii="Century Gothic" w:hAnsi="Century Gothic"/>
        </w:rPr>
        <w:t>Debe incorporarse la fecha actualización de la información</w:t>
      </w:r>
      <w:r w:rsidRPr="00C4050E">
        <w:t xml:space="preserve"> </w:t>
      </w:r>
      <w:r w:rsidRPr="00401DBB">
        <w:rPr>
          <w:rFonts w:ascii="Century Gothic" w:hAnsi="Century Gothic"/>
        </w:rPr>
        <w:t>en la web. Solo de esta manera los ciudadanos pueden saber si la información que están consultando está vigente o no.</w:t>
      </w:r>
    </w:p>
    <w:p w:rsidR="00965C69" w:rsidRDefault="00965C69" w:rsidP="00965C69">
      <w:pPr>
        <w:pStyle w:val="Cuerpodelboletn"/>
      </w:pPr>
    </w:p>
    <w:p w:rsidR="00D47CFB" w:rsidRDefault="00D47CFB" w:rsidP="007E3D12">
      <w:pPr>
        <w:pStyle w:val="Sinespaciado"/>
        <w:spacing w:line="276" w:lineRule="auto"/>
        <w:ind w:left="360"/>
        <w:jc w:val="right"/>
        <w:rPr>
          <w:rFonts w:ascii="Century Gothic" w:eastAsia="Times New Roman" w:hAnsi="Century Gothic" w:cs="Times New Roman"/>
          <w:bCs/>
          <w:szCs w:val="36"/>
          <w:lang w:eastAsia="es-ES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Madrid, </w:t>
      </w:r>
      <w:r w:rsidR="00401DBB">
        <w:rPr>
          <w:rFonts w:ascii="Century Gothic" w:eastAsia="Times New Roman" w:hAnsi="Century Gothic" w:cs="Times New Roman"/>
          <w:bCs/>
          <w:szCs w:val="36"/>
          <w:lang w:eastAsia="es-ES"/>
        </w:rPr>
        <w:t>julio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de 2020</w:t>
      </w:r>
    </w:p>
    <w:p w:rsidR="008D3C31" w:rsidRDefault="008D3C31" w:rsidP="007E3D12">
      <w:pPr>
        <w:pStyle w:val="Sinespaciado"/>
        <w:spacing w:line="276" w:lineRule="auto"/>
        <w:ind w:left="360"/>
        <w:jc w:val="right"/>
      </w:pPr>
    </w:p>
    <w:p w:rsidR="008D3C31" w:rsidRDefault="008D3C31">
      <w:pPr>
        <w:rPr>
          <w:color w:val="000000"/>
        </w:rPr>
      </w:pPr>
      <w:r>
        <w:br w:type="page"/>
      </w:r>
    </w:p>
    <w:p w:rsidR="00F355EF" w:rsidRDefault="00F355EF" w:rsidP="00965C69">
      <w:pPr>
        <w:pStyle w:val="Cuerpodelboletn"/>
        <w:sectPr w:rsidR="00F355EF" w:rsidSect="0020498F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1557966967"/>
        <w:placeholder>
          <w:docPart w:val="783AB4286EB94CE9AA10C1B43A64A627"/>
        </w:placeholder>
      </w:sdtPr>
      <w:sdtEndPr/>
      <w:sdtContent>
        <w:p w:rsidR="00F355EF" w:rsidRPr="002D27E4" w:rsidRDefault="00F355EF" w:rsidP="008D3C31">
          <w:pPr>
            <w:pStyle w:val="Cuerpodelboletn"/>
            <w:jc w:val="center"/>
            <w:rPr>
              <w:b/>
              <w:sz w:val="30"/>
              <w:szCs w:val="30"/>
            </w:rPr>
          </w:pP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776452E7" wp14:editId="5ECD6B31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11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Qb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8Kzqzo&#10;qUefyLWnH7bdGWDFIlo0OF9S5qN7wCjSu3uQXz2zsO6EbdUtIgydEjURK2J+9tuDGHh6yrbDe6ip&#10;gNgFSG4dGuwjIPnADqkpx0tT1CEwSYfXORmTU+8k3RVvXi4WqWuZKM+vHfrwVkHP4qbiSPQTutjf&#10;+xDZiPKcktiD0fWdNiYF2G7XBtle0ICsX202m3kSQCKnacbGZAvx2Yg4nqg0YmMZURLlU8Wz5NG6&#10;LdRHko8wjh99F9p0gN85G2j0Ku6/7QQqzsw7SxYuiqurOKvTAKfBdhoIKwmq4oGzcbsO43zvHOq2&#10;o0pFcsPCLdne6ORI5DeyOjWLxisZdfoKcX6nccr69WFXPwE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IY69BsKAgAA&#10;+A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099619A3" wp14:editId="5E6225BB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740AC" w:rsidRPr="00F31BC3" w:rsidRDefault="009740AC" w:rsidP="00F355EF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DEE1168" wp14:editId="011E692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5" style="position:absolute;left:0;text-align:left;margin-left:-.75pt;margin-top:-.25pt;width:630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a7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d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8q1rs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F355EF" w:rsidRPr="00F31BC3" w:rsidRDefault="00F355EF" w:rsidP="00F355EF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B558554" wp14:editId="3AE8A628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p>
      </w:sdtContent>
    </w:sdt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F355EF" w:rsidRPr="009654DA" w:rsidTr="00F355EF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F355EF" w:rsidRPr="009654DA" w:rsidTr="00F355EF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355EF" w:rsidRPr="009654DA" w:rsidTr="00F355EF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355EF" w:rsidRPr="009654DA" w:rsidTr="00F355EF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355EF" w:rsidRPr="009654DA" w:rsidTr="00F355EF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F355EF" w:rsidRPr="009654DA" w:rsidTr="00F355EF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F355EF" w:rsidRPr="009654DA" w:rsidTr="00F355EF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F355EF" w:rsidRPr="009654DA" w:rsidTr="00F355EF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355EF" w:rsidRPr="009654DA" w:rsidTr="00F355EF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355EF" w:rsidRPr="009654DA" w:rsidTr="00F355EF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355EF" w:rsidRPr="009654DA" w:rsidTr="00F355EF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355EF" w:rsidRPr="009654DA" w:rsidTr="00F355EF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355EF" w:rsidRPr="009654DA" w:rsidTr="00F355EF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355EF" w:rsidRPr="009654DA" w:rsidTr="00F355EF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355EF" w:rsidRPr="009654DA" w:rsidTr="00F355EF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355EF" w:rsidRPr="009654DA" w:rsidTr="00F355EF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355EF" w:rsidRPr="009654DA" w:rsidTr="00F355EF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355EF" w:rsidRPr="009654DA" w:rsidTr="00F355EF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355EF" w:rsidRPr="009654DA" w:rsidTr="00F355EF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355EF" w:rsidRPr="009654DA" w:rsidTr="00F355EF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355EF" w:rsidRPr="009654DA" w:rsidTr="00F355EF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355EF" w:rsidRPr="009654DA" w:rsidTr="00F355EF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355EF" w:rsidRPr="009654DA" w:rsidTr="00F355EF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355EF" w:rsidRPr="009654DA" w:rsidTr="00F355EF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355EF" w:rsidRPr="009654DA" w:rsidTr="00F355EF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355EF" w:rsidRPr="009654DA" w:rsidTr="00F355EF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355EF" w:rsidRPr="009654DA" w:rsidTr="00F355EF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355EF" w:rsidRPr="009654DA" w:rsidTr="00F355EF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355EF" w:rsidRPr="009654DA" w:rsidTr="00F355EF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355EF" w:rsidRPr="009654DA" w:rsidTr="00F355EF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355EF" w:rsidRPr="009654DA" w:rsidTr="00F355EF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355EF" w:rsidRPr="009654DA" w:rsidTr="00F355EF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355EF" w:rsidRPr="009654DA" w:rsidTr="00F355EF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355EF" w:rsidRPr="009654DA" w:rsidTr="00F355EF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355EF" w:rsidRPr="009654DA" w:rsidTr="00F355EF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355EF" w:rsidRPr="009654DA" w:rsidTr="00F355EF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F355EF" w:rsidRPr="009654DA" w:rsidTr="00F355EF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EF" w:rsidRPr="009654DA" w:rsidRDefault="00F355EF" w:rsidP="001072EE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Pr="00965C69" w:rsidRDefault="00011946" w:rsidP="00965C69">
      <w:pPr>
        <w:pStyle w:val="Cuerpodelboletn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C2B003" wp14:editId="71E7227A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295C9" wp14:editId="08D9166A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40AC" w:rsidRPr="00F31BC3" w:rsidRDefault="009740AC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CF0F153" wp14:editId="0266C550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UcDwIAAAsEAAAOAAAAZHJzL2Uyb0RvYy54bWysU1Fu2zAM/R+wOwj6X2wHXZAacYoiRYcB&#10;3Va02wEUWbaFyaJGKbGz2+wsu9goOUmz7W/Yj0CK1OPjI7W6GXvD9gq9BlvxYpZzpqyEWtu24l8+&#10;379ZcuaDsLUwYFXFD8rzm/XrV6vBlWoOHZhaISMQ68vBVbwLwZVZ5mWneuFn4JSlYAPYi0AutlmN&#10;YiD03mTzPF9kA2DtEKTynm7vpiBfJ/ymUTJ8ahqvAjMVJ24hnZjObTyz9UqULQrXaXmkIf6BRS+0&#10;paJnqDsRBNuh/guq1xLBQxNmEvoMmkZLlXqgbor8j26eO+FU6oXE8e4sk/9/sPLj/hGZris+p0lZ&#10;0dOMnki1nz9suzPAimWUaHC+pMxn94ixSe8eQH71zMKmE7ZVt4gwdErURKyI+dlvD6Lj6SnbDh+g&#10;pgJiFyCpNTbYR0DSgY1pKIfzUNQYmKTLZU7C5DQ7SbHr63xBdiwhytNrhz68U9CzaFQciX5CF/sH&#10;H6bUU0piD0bX99qY5GC73Rhke0EL8jZfLhabI7q/TDM2JluIzybE6UalFZvKiJIoHyueWp6kC+N2&#10;TBoXiXoMbqE+kCII00bSDyKjA/zO2UDbWHH/bSdQcWbeW1L1uri6iut76eCls710hJUEVfHA2WRu&#10;wrTyO4e67ahSkQSycEuTaHQS6YXVcX60cUnm4++IK33pp6yXP7z+BQ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B47gUcDwIA&#10;AAs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760DF4" w:rsidRPr="00F31BC3" w:rsidRDefault="00760DF4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CF0F153" wp14:editId="0266C550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965C69" w:rsidRPr="00965C69" w:rsidSect="0020498F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0AC" w:rsidRDefault="009740AC" w:rsidP="00F31BC3">
      <w:r>
        <w:separator/>
      </w:r>
    </w:p>
  </w:endnote>
  <w:endnote w:type="continuationSeparator" w:id="0">
    <w:p w:rsidR="009740AC" w:rsidRDefault="009740AC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0AC" w:rsidRDefault="009740AC" w:rsidP="00F31BC3">
      <w:r>
        <w:separator/>
      </w:r>
    </w:p>
  </w:footnote>
  <w:footnote w:type="continuationSeparator" w:id="0">
    <w:p w:rsidR="009740AC" w:rsidRDefault="009740AC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0B21F2C"/>
    <w:multiLevelType w:val="hybridMultilevel"/>
    <w:tmpl w:val="0AD86FC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1E5706"/>
    <w:multiLevelType w:val="hybridMultilevel"/>
    <w:tmpl w:val="5424499A"/>
    <w:lvl w:ilvl="0" w:tplc="B7C227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48E07F8F"/>
    <w:multiLevelType w:val="hybridMultilevel"/>
    <w:tmpl w:val="72AE00F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14"/>
  </w:num>
  <w:num w:numId="12">
    <w:abstractNumId w:val="9"/>
  </w:num>
  <w:num w:numId="13">
    <w:abstractNumId w:val="5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30DFC"/>
    <w:rsid w:val="0005642F"/>
    <w:rsid w:val="000775A5"/>
    <w:rsid w:val="00086F8C"/>
    <w:rsid w:val="000A5E0F"/>
    <w:rsid w:val="000D3907"/>
    <w:rsid w:val="000D5417"/>
    <w:rsid w:val="00104E94"/>
    <w:rsid w:val="001072EE"/>
    <w:rsid w:val="001149B1"/>
    <w:rsid w:val="00146C3C"/>
    <w:rsid w:val="00164876"/>
    <w:rsid w:val="001763F8"/>
    <w:rsid w:val="001870CE"/>
    <w:rsid w:val="00187CDD"/>
    <w:rsid w:val="0019448F"/>
    <w:rsid w:val="001A5305"/>
    <w:rsid w:val="001B56AC"/>
    <w:rsid w:val="001C4509"/>
    <w:rsid w:val="001C7C78"/>
    <w:rsid w:val="0020498F"/>
    <w:rsid w:val="0021682B"/>
    <w:rsid w:val="00231D61"/>
    <w:rsid w:val="002467FA"/>
    <w:rsid w:val="002973E8"/>
    <w:rsid w:val="002D0702"/>
    <w:rsid w:val="0031769F"/>
    <w:rsid w:val="00346A03"/>
    <w:rsid w:val="00347877"/>
    <w:rsid w:val="00355DC0"/>
    <w:rsid w:val="003A390C"/>
    <w:rsid w:val="003B57E6"/>
    <w:rsid w:val="003B6B96"/>
    <w:rsid w:val="003D2C4A"/>
    <w:rsid w:val="003E564B"/>
    <w:rsid w:val="003E5D2F"/>
    <w:rsid w:val="003F6EDC"/>
    <w:rsid w:val="00401DBB"/>
    <w:rsid w:val="00415DBD"/>
    <w:rsid w:val="004225D2"/>
    <w:rsid w:val="00422B18"/>
    <w:rsid w:val="004720A5"/>
    <w:rsid w:val="0047735C"/>
    <w:rsid w:val="0048117D"/>
    <w:rsid w:val="004859CC"/>
    <w:rsid w:val="004A1663"/>
    <w:rsid w:val="004B7401"/>
    <w:rsid w:val="004C6440"/>
    <w:rsid w:val="004C7002"/>
    <w:rsid w:val="004D7037"/>
    <w:rsid w:val="005301DF"/>
    <w:rsid w:val="00536832"/>
    <w:rsid w:val="00563295"/>
    <w:rsid w:val="005E2505"/>
    <w:rsid w:val="005E6704"/>
    <w:rsid w:val="005F39FB"/>
    <w:rsid w:val="00603DFC"/>
    <w:rsid w:val="00633EAA"/>
    <w:rsid w:val="00641C8E"/>
    <w:rsid w:val="00666F96"/>
    <w:rsid w:val="0069673B"/>
    <w:rsid w:val="006A3508"/>
    <w:rsid w:val="006B1B95"/>
    <w:rsid w:val="006B75D8"/>
    <w:rsid w:val="006D49E7"/>
    <w:rsid w:val="006E75DE"/>
    <w:rsid w:val="007071A8"/>
    <w:rsid w:val="00707C14"/>
    <w:rsid w:val="00717272"/>
    <w:rsid w:val="00751FAA"/>
    <w:rsid w:val="00755607"/>
    <w:rsid w:val="0076085B"/>
    <w:rsid w:val="00760DF4"/>
    <w:rsid w:val="00760E4B"/>
    <w:rsid w:val="0076239E"/>
    <w:rsid w:val="0076640C"/>
    <w:rsid w:val="00767291"/>
    <w:rsid w:val="00767C60"/>
    <w:rsid w:val="00777FB3"/>
    <w:rsid w:val="00790143"/>
    <w:rsid w:val="007D1701"/>
    <w:rsid w:val="007D5CBF"/>
    <w:rsid w:val="007E3D12"/>
    <w:rsid w:val="007F5F9D"/>
    <w:rsid w:val="00803D20"/>
    <w:rsid w:val="00821526"/>
    <w:rsid w:val="0082470D"/>
    <w:rsid w:val="00882A5B"/>
    <w:rsid w:val="00894358"/>
    <w:rsid w:val="0089455A"/>
    <w:rsid w:val="008D1336"/>
    <w:rsid w:val="008D3C31"/>
    <w:rsid w:val="008E4D4C"/>
    <w:rsid w:val="00902A71"/>
    <w:rsid w:val="009039FD"/>
    <w:rsid w:val="00912DB4"/>
    <w:rsid w:val="0093113F"/>
    <w:rsid w:val="009536D4"/>
    <w:rsid w:val="00965C69"/>
    <w:rsid w:val="009740AC"/>
    <w:rsid w:val="00982299"/>
    <w:rsid w:val="009B75CD"/>
    <w:rsid w:val="009D35A4"/>
    <w:rsid w:val="009D3CC3"/>
    <w:rsid w:val="009D4047"/>
    <w:rsid w:val="009D465A"/>
    <w:rsid w:val="009D78D2"/>
    <w:rsid w:val="009E049D"/>
    <w:rsid w:val="009E2E6F"/>
    <w:rsid w:val="009E7254"/>
    <w:rsid w:val="009F1B04"/>
    <w:rsid w:val="00A41A4C"/>
    <w:rsid w:val="00A51AAD"/>
    <w:rsid w:val="00A73313"/>
    <w:rsid w:val="00A82709"/>
    <w:rsid w:val="00AA3285"/>
    <w:rsid w:val="00AC2723"/>
    <w:rsid w:val="00AC4A6F"/>
    <w:rsid w:val="00AD6065"/>
    <w:rsid w:val="00AF5151"/>
    <w:rsid w:val="00B1184C"/>
    <w:rsid w:val="00B220EC"/>
    <w:rsid w:val="00B5314A"/>
    <w:rsid w:val="00B56A3A"/>
    <w:rsid w:val="00B77C12"/>
    <w:rsid w:val="00B85EA1"/>
    <w:rsid w:val="00BA03C4"/>
    <w:rsid w:val="00BC0ADF"/>
    <w:rsid w:val="00BD1E44"/>
    <w:rsid w:val="00BD2172"/>
    <w:rsid w:val="00C1290B"/>
    <w:rsid w:val="00C213EC"/>
    <w:rsid w:val="00C259F4"/>
    <w:rsid w:val="00C27705"/>
    <w:rsid w:val="00C4050E"/>
    <w:rsid w:val="00C4430D"/>
    <w:rsid w:val="00C451D3"/>
    <w:rsid w:val="00C54D21"/>
    <w:rsid w:val="00C56FCF"/>
    <w:rsid w:val="00C572A8"/>
    <w:rsid w:val="00C61668"/>
    <w:rsid w:val="00C61E7F"/>
    <w:rsid w:val="00C66E73"/>
    <w:rsid w:val="00C909CC"/>
    <w:rsid w:val="00CB4CB5"/>
    <w:rsid w:val="00CD3DE8"/>
    <w:rsid w:val="00D014E1"/>
    <w:rsid w:val="00D01CA1"/>
    <w:rsid w:val="00D1453D"/>
    <w:rsid w:val="00D47CFB"/>
    <w:rsid w:val="00D520C8"/>
    <w:rsid w:val="00DA6660"/>
    <w:rsid w:val="00DC1DA2"/>
    <w:rsid w:val="00DC5B52"/>
    <w:rsid w:val="00DD515F"/>
    <w:rsid w:val="00DF25D7"/>
    <w:rsid w:val="00E023B5"/>
    <w:rsid w:val="00E115A6"/>
    <w:rsid w:val="00E33169"/>
    <w:rsid w:val="00E6528C"/>
    <w:rsid w:val="00EA2404"/>
    <w:rsid w:val="00EC6A3E"/>
    <w:rsid w:val="00EF5B46"/>
    <w:rsid w:val="00EF6910"/>
    <w:rsid w:val="00F05E2C"/>
    <w:rsid w:val="00F132F9"/>
    <w:rsid w:val="00F24BAF"/>
    <w:rsid w:val="00F31BC3"/>
    <w:rsid w:val="00F355EF"/>
    <w:rsid w:val="00F36022"/>
    <w:rsid w:val="00F7274D"/>
    <w:rsid w:val="00F95333"/>
    <w:rsid w:val="00FA0C58"/>
    <w:rsid w:val="00FA11BE"/>
    <w:rsid w:val="00FA1911"/>
    <w:rsid w:val="00FA5997"/>
    <w:rsid w:val="00FC2876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s://www.abancacorporacionbancaria.com/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83AB4286EB94CE9AA10C1B43A64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62679-3CEE-49EC-BB0F-E0EAC2996A65}"/>
      </w:docPartPr>
      <w:docPartBody>
        <w:p w:rsidR="003C360B" w:rsidRDefault="00805702" w:rsidP="00805702">
          <w:pPr>
            <w:pStyle w:val="783AB4286EB94CE9AA10C1B43A64A627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3C360B"/>
    <w:rsid w:val="00787EBD"/>
    <w:rsid w:val="007B06F6"/>
    <w:rsid w:val="00805702"/>
    <w:rsid w:val="008E118A"/>
    <w:rsid w:val="00B66A1C"/>
    <w:rsid w:val="00C32372"/>
    <w:rsid w:val="00D31456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5702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AF1E9A32807D489798E60C48C9177FEF">
    <w:name w:val="AF1E9A32807D489798E60C48C9177FEF"/>
    <w:rsid w:val="00805702"/>
  </w:style>
  <w:style w:type="paragraph" w:customStyle="1" w:styleId="783AB4286EB94CE9AA10C1B43A64A627">
    <w:name w:val="783AB4286EB94CE9AA10C1B43A64A627"/>
    <w:rsid w:val="008057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5702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AF1E9A32807D489798E60C48C9177FEF">
    <w:name w:val="AF1E9A32807D489798E60C48C9177FEF"/>
    <w:rsid w:val="00805702"/>
  </w:style>
  <w:style w:type="paragraph" w:customStyle="1" w:styleId="783AB4286EB94CE9AA10C1B43A64A627">
    <w:name w:val="783AB4286EB94CE9AA10C1B43A64A627"/>
    <w:rsid w:val="00805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6DFBA-794F-474D-8395-34593D27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</TotalTime>
  <Pages>8</Pages>
  <Words>2553</Words>
  <Characters>14043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3</cp:revision>
  <cp:lastPrinted>2008-09-26T23:14:00Z</cp:lastPrinted>
  <dcterms:created xsi:type="dcterms:W3CDTF">2020-07-17T10:32:00Z</dcterms:created>
  <dcterms:modified xsi:type="dcterms:W3CDTF">2020-07-20T09:37:00Z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