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rsidP="00986061">
      <w:pPr>
        <w:spacing w:before="120" w:after="120" w:line="312" w:lineRule="auto"/>
        <w:rPr>
          <w:rFonts w:asciiTheme="minorHAnsi" w:hAnsiTheme="minorHAnsi" w:cstheme="minorHAnsi"/>
          <w:szCs w:val="24"/>
        </w:rPr>
      </w:pPr>
    </w:p>
    <w:p w:rsidR="006F17B5" w:rsidRPr="006F17B5" w:rsidRDefault="006F17B5" w:rsidP="00986061">
      <w:pPr>
        <w:pStyle w:val="Ttulo1"/>
        <w:spacing w:before="120" w:after="120" w:line="312" w:lineRule="auto"/>
        <w:jc w:val="both"/>
      </w:pPr>
      <w:r w:rsidRPr="006F17B5">
        <w:t xml:space="preserve">INFORME RELATIVO A LAS OBSERVACIONES REMITIDAS POR </w:t>
      </w:r>
      <w:r w:rsidR="001750A8">
        <w:t>A</w:t>
      </w:r>
      <w:r w:rsidR="00455EA5">
        <w:t>DICAE E</w:t>
      </w:r>
      <w:r w:rsidRPr="006F17B5">
        <w:t>N RELACIÓN CON EL INFORME DEL CTBG SOBRE CUMPLIMIENTO DE LAS OBLIGACIONES DE PUBLICIDAD AC</w:t>
      </w:r>
      <w:r>
        <w:t>TIVA ESTABLECIDAS POR LA LTAIBG</w:t>
      </w:r>
    </w:p>
    <w:p w:rsidR="006F17B5" w:rsidRPr="006F17B5" w:rsidRDefault="006F17B5" w:rsidP="00986061">
      <w:pPr>
        <w:spacing w:before="120" w:after="120" w:line="312" w:lineRule="auto"/>
        <w:jc w:val="center"/>
        <w:rPr>
          <w:rFonts w:asciiTheme="minorHAnsi" w:hAnsiTheme="minorHAnsi" w:cstheme="minorHAnsi"/>
          <w:szCs w:val="24"/>
        </w:rPr>
      </w:pPr>
    </w:p>
    <w:p w:rsidR="00A7358A" w:rsidRDefault="007932CD" w:rsidP="00986061">
      <w:pPr>
        <w:spacing w:before="120" w:after="120" w:line="312" w:lineRule="auto"/>
        <w:jc w:val="both"/>
        <w:rPr>
          <w:rFonts w:asciiTheme="minorHAnsi" w:hAnsiTheme="minorHAnsi" w:cstheme="minorHAnsi"/>
          <w:szCs w:val="24"/>
        </w:rPr>
      </w:pPr>
      <w:r>
        <w:rPr>
          <w:rFonts w:asciiTheme="minorHAnsi" w:hAnsiTheme="minorHAnsi" w:cstheme="minorHAnsi"/>
          <w:szCs w:val="24"/>
        </w:rPr>
        <w:t>E</w:t>
      </w:r>
      <w:r w:rsidR="00E17499">
        <w:rPr>
          <w:rFonts w:asciiTheme="minorHAnsi" w:hAnsiTheme="minorHAnsi" w:cstheme="minorHAnsi"/>
          <w:szCs w:val="24"/>
        </w:rPr>
        <w:t>n</w:t>
      </w:r>
      <w:r>
        <w:rPr>
          <w:rFonts w:asciiTheme="minorHAnsi" w:hAnsiTheme="minorHAnsi" w:cstheme="minorHAnsi"/>
          <w:szCs w:val="24"/>
        </w:rPr>
        <w:t xml:space="preserve"> contestación a su escrito firmado el 3 de julio de 2020 y relativo al </w:t>
      </w:r>
      <w:r w:rsidRPr="006F17B5">
        <w:rPr>
          <w:rFonts w:asciiTheme="minorHAnsi" w:hAnsiTheme="minorHAnsi" w:cstheme="minorHAnsi"/>
          <w:szCs w:val="24"/>
        </w:rPr>
        <w:t xml:space="preserve">borrador de informe de evaluación </w:t>
      </w:r>
      <w:r w:rsidR="00E17499">
        <w:rPr>
          <w:rFonts w:asciiTheme="minorHAnsi" w:hAnsiTheme="minorHAnsi" w:cstheme="minorHAnsi"/>
          <w:szCs w:val="24"/>
        </w:rPr>
        <w:t>sobre el nivel de</w:t>
      </w:r>
      <w:r w:rsidRPr="006F17B5">
        <w:rPr>
          <w:rFonts w:asciiTheme="minorHAnsi" w:hAnsiTheme="minorHAnsi" w:cstheme="minorHAnsi"/>
          <w:szCs w:val="24"/>
        </w:rPr>
        <w:t xml:space="preserve"> cumplimiento de las obligaciones de publicidad activa por parte de la </w:t>
      </w:r>
      <w:r>
        <w:rPr>
          <w:rFonts w:asciiTheme="minorHAnsi" w:hAnsiTheme="minorHAnsi" w:cstheme="minorHAnsi"/>
          <w:szCs w:val="24"/>
        </w:rPr>
        <w:t xml:space="preserve">entidad, cabe significar, con carácter previo a cualquier otra consideración, que en </w:t>
      </w:r>
      <w:r w:rsidR="00455EA5" w:rsidRPr="00A7358A">
        <w:rPr>
          <w:rFonts w:asciiTheme="minorHAnsi" w:hAnsiTheme="minorHAnsi" w:cstheme="minorHAnsi"/>
          <w:szCs w:val="24"/>
        </w:rPr>
        <w:t xml:space="preserve">cuanto a los hechos que relatan en los antecedentes de su informe, este Consejo no puede sino lamentar la situación por la que </w:t>
      </w:r>
      <w:r w:rsidR="00E17499">
        <w:rPr>
          <w:rFonts w:asciiTheme="minorHAnsi" w:hAnsiTheme="minorHAnsi" w:cstheme="minorHAnsi"/>
          <w:szCs w:val="24"/>
        </w:rPr>
        <w:t>al parecer está atravesando</w:t>
      </w:r>
      <w:r w:rsidR="00455EA5" w:rsidRPr="00A7358A">
        <w:rPr>
          <w:rFonts w:asciiTheme="minorHAnsi" w:hAnsiTheme="minorHAnsi" w:cstheme="minorHAnsi"/>
          <w:szCs w:val="24"/>
        </w:rPr>
        <w:t xml:space="preserve"> esa entidad</w:t>
      </w:r>
      <w:r w:rsidR="00A7358A" w:rsidRPr="00A7358A">
        <w:rPr>
          <w:rFonts w:asciiTheme="minorHAnsi" w:hAnsiTheme="minorHAnsi" w:cstheme="minorHAnsi"/>
          <w:szCs w:val="24"/>
        </w:rPr>
        <w:t xml:space="preserve">, pero ninguna relación guarda con haber </w:t>
      </w:r>
      <w:r>
        <w:rPr>
          <w:rFonts w:asciiTheme="minorHAnsi" w:hAnsiTheme="minorHAnsi" w:cstheme="minorHAnsi"/>
          <w:szCs w:val="24"/>
        </w:rPr>
        <w:t>resultado</w:t>
      </w:r>
      <w:r w:rsidR="00A7358A" w:rsidRPr="00A7358A">
        <w:rPr>
          <w:rFonts w:asciiTheme="minorHAnsi" w:hAnsiTheme="minorHAnsi" w:cstheme="minorHAnsi"/>
          <w:szCs w:val="24"/>
        </w:rPr>
        <w:t xml:space="preserve"> seleccionad</w:t>
      </w:r>
      <w:r>
        <w:rPr>
          <w:rFonts w:asciiTheme="minorHAnsi" w:hAnsiTheme="minorHAnsi" w:cstheme="minorHAnsi"/>
          <w:szCs w:val="24"/>
        </w:rPr>
        <w:t>a</w:t>
      </w:r>
      <w:r w:rsidR="00A7358A" w:rsidRPr="00A7358A">
        <w:rPr>
          <w:rFonts w:asciiTheme="minorHAnsi" w:hAnsiTheme="minorHAnsi" w:cstheme="minorHAnsi"/>
          <w:szCs w:val="24"/>
        </w:rPr>
        <w:t xml:space="preserve"> para </w:t>
      </w:r>
      <w:r w:rsidR="00E17499">
        <w:rPr>
          <w:rFonts w:asciiTheme="minorHAnsi" w:hAnsiTheme="minorHAnsi" w:cstheme="minorHAnsi"/>
          <w:szCs w:val="24"/>
        </w:rPr>
        <w:t xml:space="preserve">esta evaluación. </w:t>
      </w:r>
      <w:r w:rsidR="00455EA5" w:rsidRPr="00A7358A">
        <w:rPr>
          <w:rFonts w:asciiTheme="minorHAnsi" w:hAnsiTheme="minorHAnsi" w:cstheme="minorHAnsi"/>
          <w:szCs w:val="24"/>
        </w:rPr>
        <w:t>Es c</w:t>
      </w:r>
      <w:r w:rsidR="00A7358A" w:rsidRPr="00A7358A">
        <w:rPr>
          <w:rFonts w:asciiTheme="minorHAnsi" w:hAnsiTheme="minorHAnsi" w:cstheme="minorHAnsi"/>
          <w:szCs w:val="24"/>
        </w:rPr>
        <w:t>ierto</w:t>
      </w:r>
      <w:r w:rsidR="00455EA5" w:rsidRPr="00A7358A">
        <w:rPr>
          <w:rFonts w:asciiTheme="minorHAnsi" w:hAnsiTheme="minorHAnsi" w:cstheme="minorHAnsi"/>
          <w:szCs w:val="24"/>
        </w:rPr>
        <w:t xml:space="preserve"> que en este Consejo </w:t>
      </w:r>
      <w:r w:rsidR="00A7358A" w:rsidRPr="00A7358A">
        <w:rPr>
          <w:rFonts w:asciiTheme="minorHAnsi" w:hAnsiTheme="minorHAnsi" w:cstheme="minorHAnsi"/>
          <w:szCs w:val="24"/>
        </w:rPr>
        <w:t>consta una</w:t>
      </w:r>
      <w:r w:rsidR="00455EA5" w:rsidRPr="00A7358A">
        <w:rPr>
          <w:rFonts w:asciiTheme="minorHAnsi" w:hAnsiTheme="minorHAnsi" w:cstheme="minorHAnsi"/>
          <w:szCs w:val="24"/>
        </w:rPr>
        <w:t xml:space="preserve"> denuncia </w:t>
      </w:r>
      <w:r w:rsidR="00A7358A" w:rsidRPr="00A7358A">
        <w:rPr>
          <w:rFonts w:asciiTheme="minorHAnsi" w:hAnsiTheme="minorHAnsi" w:cstheme="minorHAnsi"/>
          <w:szCs w:val="24"/>
        </w:rPr>
        <w:t xml:space="preserve">frente a esa entidad </w:t>
      </w:r>
      <w:r w:rsidR="00455EA5" w:rsidRPr="00A7358A">
        <w:rPr>
          <w:rFonts w:asciiTheme="minorHAnsi" w:hAnsiTheme="minorHAnsi" w:cstheme="minorHAnsi"/>
          <w:szCs w:val="24"/>
        </w:rPr>
        <w:t>por un supue</w:t>
      </w:r>
      <w:r w:rsidR="00A7358A" w:rsidRPr="00A7358A">
        <w:rPr>
          <w:rFonts w:asciiTheme="minorHAnsi" w:hAnsiTheme="minorHAnsi" w:cstheme="minorHAnsi"/>
          <w:szCs w:val="24"/>
        </w:rPr>
        <w:t>s</w:t>
      </w:r>
      <w:r w:rsidR="00455EA5" w:rsidRPr="00A7358A">
        <w:rPr>
          <w:rFonts w:asciiTheme="minorHAnsi" w:hAnsiTheme="minorHAnsi" w:cstheme="minorHAnsi"/>
          <w:szCs w:val="24"/>
        </w:rPr>
        <w:t>to incumplimiento de sus obligaciones d</w:t>
      </w:r>
      <w:r w:rsidR="00A7358A" w:rsidRPr="00A7358A">
        <w:rPr>
          <w:rFonts w:asciiTheme="minorHAnsi" w:hAnsiTheme="minorHAnsi" w:cstheme="minorHAnsi"/>
          <w:szCs w:val="24"/>
        </w:rPr>
        <w:t>e</w:t>
      </w:r>
      <w:r w:rsidR="00455EA5" w:rsidRPr="00A7358A">
        <w:rPr>
          <w:rFonts w:asciiTheme="minorHAnsi" w:hAnsiTheme="minorHAnsi" w:cstheme="minorHAnsi"/>
          <w:szCs w:val="24"/>
        </w:rPr>
        <w:t xml:space="preserve"> pub</w:t>
      </w:r>
      <w:r w:rsidR="00A7358A" w:rsidRPr="00A7358A">
        <w:rPr>
          <w:rFonts w:asciiTheme="minorHAnsi" w:hAnsiTheme="minorHAnsi" w:cstheme="minorHAnsi"/>
          <w:szCs w:val="24"/>
        </w:rPr>
        <w:t>licidad activa, pero cabe asegurarle que esta circunstancia no ha sido determinante a la hora de resultar seleccionad</w:t>
      </w:r>
      <w:r>
        <w:rPr>
          <w:rFonts w:asciiTheme="minorHAnsi" w:hAnsiTheme="minorHAnsi" w:cstheme="minorHAnsi"/>
          <w:szCs w:val="24"/>
        </w:rPr>
        <w:t>a</w:t>
      </w:r>
      <w:r w:rsidR="00A7358A" w:rsidRPr="00A7358A">
        <w:rPr>
          <w:rFonts w:asciiTheme="minorHAnsi" w:hAnsiTheme="minorHAnsi" w:cstheme="minorHAnsi"/>
          <w:szCs w:val="24"/>
        </w:rPr>
        <w:t xml:space="preserve">, más cuando </w:t>
      </w:r>
      <w:r>
        <w:rPr>
          <w:rFonts w:asciiTheme="minorHAnsi" w:hAnsiTheme="minorHAnsi" w:cstheme="minorHAnsi"/>
          <w:szCs w:val="24"/>
        </w:rPr>
        <w:t xml:space="preserve">se trata de una única denuncia y </w:t>
      </w:r>
      <w:r w:rsidR="00986061">
        <w:rPr>
          <w:rFonts w:asciiTheme="minorHAnsi" w:hAnsiTheme="minorHAnsi" w:cstheme="minorHAnsi"/>
          <w:szCs w:val="24"/>
        </w:rPr>
        <w:t xml:space="preserve">sobre todo, </w:t>
      </w:r>
      <w:r>
        <w:rPr>
          <w:rFonts w:asciiTheme="minorHAnsi" w:hAnsiTheme="minorHAnsi" w:cstheme="minorHAnsi"/>
          <w:szCs w:val="24"/>
        </w:rPr>
        <w:t xml:space="preserve">que </w:t>
      </w:r>
      <w:r w:rsidR="00A7358A" w:rsidRPr="00A7358A">
        <w:rPr>
          <w:rFonts w:asciiTheme="minorHAnsi" w:hAnsiTheme="minorHAnsi" w:cstheme="minorHAnsi"/>
          <w:szCs w:val="24"/>
        </w:rPr>
        <w:t xml:space="preserve">son numerosas las denuncias que se reciben en este Consejo frente a entidades subvencionadas, lo que en ningún caso determina se lleven a cabo actuaciones adicionales a las correspondientes al propio trámite de la denuncia, al margen de carecer de </w:t>
      </w:r>
      <w:r w:rsidR="00F50213">
        <w:rPr>
          <w:rFonts w:asciiTheme="minorHAnsi" w:hAnsiTheme="minorHAnsi" w:cstheme="minorHAnsi"/>
          <w:szCs w:val="24"/>
        </w:rPr>
        <w:t xml:space="preserve">competencias y </w:t>
      </w:r>
      <w:r w:rsidR="00A7358A" w:rsidRPr="00A7358A">
        <w:rPr>
          <w:rFonts w:asciiTheme="minorHAnsi" w:hAnsiTheme="minorHAnsi" w:cstheme="minorHAnsi"/>
          <w:szCs w:val="24"/>
        </w:rPr>
        <w:t>recursos (humanos y materiales) suficientes para ello.</w:t>
      </w:r>
      <w:r w:rsidR="00986061">
        <w:rPr>
          <w:rFonts w:asciiTheme="minorHAnsi" w:hAnsiTheme="minorHAnsi" w:cstheme="minorHAnsi"/>
          <w:szCs w:val="24"/>
        </w:rPr>
        <w:t xml:space="preserve"> En nuestra carta de remisión del borrador del informe de evaluación se explicitaba claramente el motivo de esta evaluación</w:t>
      </w:r>
      <w:r w:rsidR="002C72B4">
        <w:rPr>
          <w:rFonts w:asciiTheme="minorHAnsi" w:hAnsiTheme="minorHAnsi" w:cstheme="minorHAnsi"/>
          <w:szCs w:val="24"/>
        </w:rPr>
        <w:t>, y no existen más motivos que hayan conducido a su selección.</w:t>
      </w:r>
      <w:r w:rsidR="00986061">
        <w:rPr>
          <w:rFonts w:asciiTheme="minorHAnsi" w:hAnsiTheme="minorHAnsi" w:cstheme="minorHAnsi"/>
          <w:szCs w:val="24"/>
        </w:rPr>
        <w:t xml:space="preserve"> </w:t>
      </w:r>
    </w:p>
    <w:p w:rsidR="007932CD" w:rsidRPr="006F17B5" w:rsidRDefault="00A7358A" w:rsidP="00986061">
      <w:pPr>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Realizadas estas consideraciones sobre la supuesta intencionalidad que se imputa a </w:t>
      </w:r>
      <w:r w:rsidR="002C72B4">
        <w:rPr>
          <w:rFonts w:asciiTheme="minorHAnsi" w:hAnsiTheme="minorHAnsi" w:cstheme="minorHAnsi"/>
          <w:szCs w:val="24"/>
        </w:rPr>
        <w:t>la</w:t>
      </w:r>
      <w:r>
        <w:rPr>
          <w:rFonts w:asciiTheme="minorHAnsi" w:hAnsiTheme="minorHAnsi" w:cstheme="minorHAnsi"/>
          <w:szCs w:val="24"/>
        </w:rPr>
        <w:t xml:space="preserve"> </w:t>
      </w:r>
      <w:r w:rsidR="002C72B4">
        <w:rPr>
          <w:rFonts w:asciiTheme="minorHAnsi" w:hAnsiTheme="minorHAnsi" w:cstheme="minorHAnsi"/>
          <w:szCs w:val="24"/>
        </w:rPr>
        <w:t>actividad evaluativa de este Consejo</w:t>
      </w:r>
      <w:r>
        <w:rPr>
          <w:rFonts w:asciiTheme="minorHAnsi" w:hAnsiTheme="minorHAnsi" w:cstheme="minorHAnsi"/>
          <w:szCs w:val="24"/>
        </w:rPr>
        <w:t xml:space="preserve">, </w:t>
      </w:r>
      <w:r w:rsidR="007932CD">
        <w:rPr>
          <w:rFonts w:asciiTheme="minorHAnsi" w:hAnsiTheme="minorHAnsi" w:cstheme="minorHAnsi"/>
          <w:szCs w:val="24"/>
        </w:rPr>
        <w:t>y u</w:t>
      </w:r>
      <w:r w:rsidR="007932CD" w:rsidRPr="006F17B5">
        <w:rPr>
          <w:rFonts w:asciiTheme="minorHAnsi" w:hAnsiTheme="minorHAnsi" w:cstheme="minorHAnsi"/>
          <w:szCs w:val="24"/>
        </w:rPr>
        <w:t xml:space="preserve">na vez analizadas las observaciones realizadas por </w:t>
      </w:r>
      <w:r w:rsidR="007932CD">
        <w:rPr>
          <w:rFonts w:asciiTheme="minorHAnsi" w:hAnsiTheme="minorHAnsi" w:cstheme="minorHAnsi"/>
          <w:szCs w:val="24"/>
        </w:rPr>
        <w:t>ADICAE</w:t>
      </w:r>
      <w:r w:rsidR="007932CD"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7932CD">
        <w:rPr>
          <w:rFonts w:asciiTheme="minorHAnsi" w:hAnsiTheme="minorHAnsi" w:cstheme="minorHAnsi"/>
          <w:szCs w:val="24"/>
        </w:rPr>
        <w:t>entidad</w:t>
      </w:r>
      <w:r w:rsidR="007932CD" w:rsidRPr="006F17B5">
        <w:rPr>
          <w:rFonts w:asciiTheme="minorHAnsi" w:hAnsiTheme="minorHAnsi" w:cstheme="minorHAnsi"/>
          <w:szCs w:val="24"/>
        </w:rPr>
        <w:t>, este CTBG efectúa las siguientes consideraciones:</w:t>
      </w:r>
    </w:p>
    <w:p w:rsidR="00A7358A" w:rsidRPr="00A7358A" w:rsidRDefault="00A7358A" w:rsidP="00986061">
      <w:pPr>
        <w:autoSpaceDE w:val="0"/>
        <w:autoSpaceDN w:val="0"/>
        <w:adjustRightInd w:val="0"/>
        <w:spacing w:before="120" w:after="120" w:line="312" w:lineRule="auto"/>
        <w:ind w:left="66"/>
        <w:jc w:val="both"/>
        <w:rPr>
          <w:rFonts w:asciiTheme="minorHAnsi" w:hAnsiTheme="minorHAnsi" w:cstheme="minorHAnsi"/>
          <w:szCs w:val="24"/>
        </w:rPr>
      </w:pPr>
    </w:p>
    <w:p w:rsidR="002C72B4" w:rsidRDefault="00A7358A" w:rsidP="00752E7D">
      <w:pPr>
        <w:pStyle w:val="Prrafodelista"/>
        <w:numPr>
          <w:ilvl w:val="0"/>
          <w:numId w:val="1"/>
        </w:numPr>
        <w:autoSpaceDE w:val="0"/>
        <w:autoSpaceDN w:val="0"/>
        <w:adjustRightInd w:val="0"/>
        <w:spacing w:before="120" w:after="120" w:line="312" w:lineRule="auto"/>
        <w:ind w:left="426"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17499" w:rsidRPr="00F50213">
        <w:rPr>
          <w:rFonts w:asciiTheme="minorHAnsi" w:hAnsiTheme="minorHAnsi" w:cstheme="minorHAnsi"/>
          <w:b/>
          <w:sz w:val="24"/>
          <w:szCs w:val="24"/>
        </w:rPr>
        <w:t>Localización y estructuración de la información</w:t>
      </w:r>
      <w:r w:rsidR="00E17499">
        <w:rPr>
          <w:rFonts w:asciiTheme="minorHAnsi" w:hAnsiTheme="minorHAnsi" w:cstheme="minorHAnsi"/>
          <w:sz w:val="24"/>
          <w:szCs w:val="24"/>
        </w:rPr>
        <w:t xml:space="preserve">. </w:t>
      </w:r>
    </w:p>
    <w:p w:rsidR="0065650D" w:rsidRPr="002C72B4" w:rsidRDefault="002C72B4" w:rsidP="002C72B4">
      <w:pPr>
        <w:autoSpaceDE w:val="0"/>
        <w:autoSpaceDN w:val="0"/>
        <w:adjustRightInd w:val="0"/>
        <w:spacing w:before="120" w:after="120" w:line="312" w:lineRule="auto"/>
        <w:ind w:left="66"/>
        <w:jc w:val="both"/>
        <w:rPr>
          <w:rFonts w:asciiTheme="minorHAnsi" w:hAnsiTheme="minorHAnsi" w:cstheme="minorHAnsi"/>
          <w:szCs w:val="24"/>
        </w:rPr>
      </w:pPr>
      <w:r>
        <w:rPr>
          <w:rFonts w:asciiTheme="minorHAnsi" w:hAnsiTheme="minorHAnsi" w:cstheme="minorHAnsi"/>
          <w:szCs w:val="24"/>
        </w:rPr>
        <w:t>La</w:t>
      </w:r>
      <w:r w:rsidR="00E17499" w:rsidRPr="002C72B4">
        <w:rPr>
          <w:rFonts w:asciiTheme="minorHAnsi" w:hAnsiTheme="minorHAnsi" w:cstheme="minorHAnsi"/>
          <w:szCs w:val="24"/>
        </w:rPr>
        <w:t xml:space="preserve"> LTAIBG no exige a las entidades de su artículo 3 que dispongan de un acceso específico denominado “Portal de Transparencia”</w:t>
      </w:r>
      <w:r>
        <w:rPr>
          <w:rFonts w:asciiTheme="minorHAnsi" w:hAnsiTheme="minorHAnsi" w:cstheme="minorHAnsi"/>
          <w:szCs w:val="24"/>
        </w:rPr>
        <w:t>. Ahora bien,</w:t>
      </w:r>
      <w:r w:rsidR="00E17499" w:rsidRPr="002C72B4">
        <w:rPr>
          <w:rFonts w:asciiTheme="minorHAnsi" w:hAnsiTheme="minorHAnsi" w:cstheme="minorHAnsi"/>
          <w:szCs w:val="24"/>
        </w:rPr>
        <w:t xml:space="preserve"> desde este Consejo se viene recomendando </w:t>
      </w:r>
      <w:r w:rsidR="00323B32" w:rsidRPr="002C72B4">
        <w:rPr>
          <w:rFonts w:asciiTheme="minorHAnsi" w:hAnsiTheme="minorHAnsi" w:cstheme="minorHAnsi"/>
          <w:szCs w:val="24"/>
        </w:rPr>
        <w:t xml:space="preserve">su creación para facilitar </w:t>
      </w:r>
      <w:r w:rsidR="0065650D" w:rsidRPr="002C72B4">
        <w:rPr>
          <w:rFonts w:asciiTheme="minorHAnsi" w:hAnsiTheme="minorHAnsi" w:cstheme="minorHAnsi"/>
          <w:szCs w:val="24"/>
        </w:rPr>
        <w:t xml:space="preserve">a los ciudadanos </w:t>
      </w:r>
      <w:r w:rsidR="00323B32" w:rsidRPr="002C72B4">
        <w:rPr>
          <w:rFonts w:asciiTheme="minorHAnsi" w:hAnsiTheme="minorHAnsi" w:cstheme="minorHAnsi"/>
          <w:szCs w:val="24"/>
        </w:rPr>
        <w:t>la localización de la información sujeta a obligaciones de publicidad activa, sigui</w:t>
      </w:r>
      <w:r w:rsidR="0065650D" w:rsidRPr="002C72B4">
        <w:rPr>
          <w:rFonts w:asciiTheme="minorHAnsi" w:hAnsiTheme="minorHAnsi" w:cstheme="minorHAnsi"/>
          <w:szCs w:val="24"/>
        </w:rPr>
        <w:t xml:space="preserve">endo la </w:t>
      </w:r>
      <w:r w:rsidR="00323B32" w:rsidRPr="002C72B4">
        <w:rPr>
          <w:rFonts w:asciiTheme="minorHAnsi" w:hAnsiTheme="minorHAnsi" w:cstheme="minorHAnsi"/>
          <w:szCs w:val="24"/>
        </w:rPr>
        <w:t>me</w:t>
      </w:r>
      <w:r w:rsidR="0065650D" w:rsidRPr="002C72B4">
        <w:rPr>
          <w:rFonts w:asciiTheme="minorHAnsi" w:hAnsiTheme="minorHAnsi" w:cstheme="minorHAnsi"/>
          <w:szCs w:val="24"/>
        </w:rPr>
        <w:t>todología de evaluación y seguimiento de la transparencia (MESTA),</w:t>
      </w:r>
      <w:r w:rsidR="00323B32" w:rsidRPr="002C72B4">
        <w:rPr>
          <w:rFonts w:asciiTheme="minorHAnsi" w:hAnsiTheme="minorHAnsi" w:cstheme="minorHAnsi"/>
          <w:szCs w:val="24"/>
        </w:rPr>
        <w:t xml:space="preserve"> </w:t>
      </w:r>
      <w:r w:rsidR="0065650D" w:rsidRPr="002C72B4">
        <w:rPr>
          <w:rFonts w:asciiTheme="minorHAnsi" w:hAnsiTheme="minorHAnsi" w:cstheme="minorHAnsi"/>
          <w:szCs w:val="24"/>
        </w:rPr>
        <w:t>que puede consultar en el siguiente enlace:</w:t>
      </w:r>
    </w:p>
    <w:p w:rsidR="0065650D" w:rsidRDefault="00BD5033" w:rsidP="00986061">
      <w:pPr>
        <w:autoSpaceDE w:val="0"/>
        <w:autoSpaceDN w:val="0"/>
        <w:adjustRightInd w:val="0"/>
        <w:spacing w:before="120" w:after="120" w:line="312" w:lineRule="auto"/>
        <w:ind w:left="720"/>
        <w:jc w:val="both"/>
        <w:rPr>
          <w:rFonts w:asciiTheme="minorHAnsi" w:hAnsiTheme="minorHAnsi" w:cstheme="minorHAnsi"/>
          <w:szCs w:val="24"/>
        </w:rPr>
      </w:pPr>
      <w:hyperlink r:id="rId8" w:history="1">
        <w:r w:rsidR="0065650D" w:rsidRPr="008A2087">
          <w:rPr>
            <w:rStyle w:val="Hipervnculo"/>
            <w:rFonts w:asciiTheme="minorHAnsi" w:hAnsiTheme="minorHAnsi" w:cstheme="minorHAnsi"/>
            <w:szCs w:val="24"/>
          </w:rPr>
          <w:t>https://www.consejodetransparencia.es/ct_Home/Actividad/documentacion.html</w:t>
        </w:r>
      </w:hyperlink>
    </w:p>
    <w:p w:rsidR="0065650D" w:rsidRDefault="0065650D" w:rsidP="00986061">
      <w:pPr>
        <w:autoSpaceDE w:val="0"/>
        <w:autoSpaceDN w:val="0"/>
        <w:adjustRightInd w:val="0"/>
        <w:spacing w:before="120" w:after="120" w:line="312" w:lineRule="auto"/>
        <w:jc w:val="both"/>
        <w:rPr>
          <w:rFonts w:asciiTheme="minorHAnsi" w:hAnsiTheme="minorHAnsi" w:cstheme="minorHAnsi"/>
          <w:szCs w:val="24"/>
        </w:rPr>
      </w:pPr>
    </w:p>
    <w:p w:rsidR="00983490" w:rsidRDefault="0065650D" w:rsidP="00986061">
      <w:p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Es por ello que la creación de</w:t>
      </w:r>
      <w:r w:rsidR="00CD4E80">
        <w:rPr>
          <w:rFonts w:asciiTheme="minorHAnsi" w:hAnsiTheme="minorHAnsi" w:cstheme="minorHAnsi"/>
          <w:szCs w:val="24"/>
        </w:rPr>
        <w:t xml:space="preserve"> </w:t>
      </w:r>
      <w:r>
        <w:rPr>
          <w:rFonts w:asciiTheme="minorHAnsi" w:hAnsiTheme="minorHAnsi" w:cstheme="minorHAnsi"/>
          <w:szCs w:val="24"/>
        </w:rPr>
        <w:t>un acceso esp</w:t>
      </w:r>
      <w:r w:rsidR="00CD4E80">
        <w:rPr>
          <w:rFonts w:asciiTheme="minorHAnsi" w:hAnsiTheme="minorHAnsi" w:cstheme="minorHAnsi"/>
          <w:szCs w:val="24"/>
        </w:rPr>
        <w:t xml:space="preserve">ecífico de transparencia se considera un plus en el cumplimiento de las obligaciones de publicidad activa y por tanto es objeto de puntuación. No lo puede ser el hecho de que se incluya esta información en uno u otro apartado de la web distinto del específico de transparencia, por cuanto la obligación de publicar determinada información existe y </w:t>
      </w:r>
      <w:r w:rsidR="00983490">
        <w:rPr>
          <w:rFonts w:asciiTheme="minorHAnsi" w:hAnsiTheme="minorHAnsi" w:cstheme="minorHAnsi"/>
          <w:szCs w:val="24"/>
        </w:rPr>
        <w:t>tales contenidos informativos ya son objeto de puntuación.</w:t>
      </w:r>
      <w:r w:rsidR="00F50213">
        <w:rPr>
          <w:rFonts w:asciiTheme="minorHAnsi" w:hAnsiTheme="minorHAnsi" w:cstheme="minorHAnsi"/>
          <w:szCs w:val="24"/>
        </w:rPr>
        <w:t xml:space="preserve"> </w:t>
      </w:r>
    </w:p>
    <w:p w:rsidR="00983490" w:rsidRDefault="00983490" w:rsidP="00986061">
      <w:p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Posiblemente el apartado “Conozca ADICAE” existiría tanto sin obligaciones de publicidad activa como con ellas, y su denominación no induce a pensar sin lugar a dudas que incluy</w:t>
      </w:r>
      <w:r w:rsidR="002C72B4">
        <w:rPr>
          <w:rFonts w:asciiTheme="minorHAnsi" w:hAnsiTheme="minorHAnsi" w:cstheme="minorHAnsi"/>
          <w:szCs w:val="24"/>
        </w:rPr>
        <w:t>a</w:t>
      </w:r>
      <w:r>
        <w:rPr>
          <w:rFonts w:asciiTheme="minorHAnsi" w:hAnsiTheme="minorHAnsi" w:cstheme="minorHAnsi"/>
          <w:szCs w:val="24"/>
        </w:rPr>
        <w:t xml:space="preserve"> la información sujeta a publicidad activa, lo que </w:t>
      </w:r>
      <w:r w:rsidR="002C72B4">
        <w:rPr>
          <w:rFonts w:asciiTheme="minorHAnsi" w:hAnsiTheme="minorHAnsi" w:cstheme="minorHAnsi"/>
          <w:szCs w:val="24"/>
        </w:rPr>
        <w:t xml:space="preserve">puede </w:t>
      </w:r>
      <w:r>
        <w:rPr>
          <w:rFonts w:asciiTheme="minorHAnsi" w:hAnsiTheme="minorHAnsi" w:cstheme="minorHAnsi"/>
          <w:szCs w:val="24"/>
        </w:rPr>
        <w:t>conlleva</w:t>
      </w:r>
      <w:r w:rsidR="002C72B4">
        <w:rPr>
          <w:rFonts w:asciiTheme="minorHAnsi" w:hAnsiTheme="minorHAnsi" w:cstheme="minorHAnsi"/>
          <w:szCs w:val="24"/>
        </w:rPr>
        <w:t>r</w:t>
      </w:r>
      <w:r>
        <w:rPr>
          <w:rFonts w:asciiTheme="minorHAnsi" w:hAnsiTheme="minorHAnsi" w:cstheme="minorHAnsi"/>
          <w:szCs w:val="24"/>
        </w:rPr>
        <w:t xml:space="preserve"> una labor de búsqueda a través de la web para descartar que exista más información en otros apartados diferentes.</w:t>
      </w:r>
    </w:p>
    <w:p w:rsidR="007A754C" w:rsidRPr="007A754C" w:rsidRDefault="00983490" w:rsidP="00986061">
      <w:pPr>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lo que respecta a la </w:t>
      </w:r>
      <w:r w:rsidR="007A754C">
        <w:rPr>
          <w:rFonts w:asciiTheme="minorHAnsi" w:hAnsiTheme="minorHAnsi" w:cstheme="minorHAnsi"/>
          <w:szCs w:val="24"/>
        </w:rPr>
        <w:t xml:space="preserve">información </w:t>
      </w:r>
      <w:r>
        <w:rPr>
          <w:rFonts w:asciiTheme="minorHAnsi" w:hAnsiTheme="minorHAnsi" w:cstheme="minorHAnsi"/>
          <w:szCs w:val="24"/>
        </w:rPr>
        <w:t>re</w:t>
      </w:r>
      <w:r w:rsidR="007A754C">
        <w:rPr>
          <w:rFonts w:asciiTheme="minorHAnsi" w:hAnsiTheme="minorHAnsi" w:cstheme="minorHAnsi"/>
          <w:szCs w:val="24"/>
        </w:rPr>
        <w:t>lativa a las</w:t>
      </w:r>
      <w:r>
        <w:rPr>
          <w:rFonts w:asciiTheme="minorHAnsi" w:hAnsiTheme="minorHAnsi" w:cstheme="minorHAnsi"/>
          <w:szCs w:val="24"/>
        </w:rPr>
        <w:t xml:space="preserve"> “A</w:t>
      </w:r>
      <w:r w:rsidR="007A754C">
        <w:rPr>
          <w:rFonts w:asciiTheme="minorHAnsi" w:hAnsiTheme="minorHAnsi" w:cstheme="minorHAnsi"/>
          <w:szCs w:val="24"/>
        </w:rPr>
        <w:t>ctividades organizativas</w:t>
      </w:r>
      <w:r>
        <w:rPr>
          <w:rFonts w:asciiTheme="minorHAnsi" w:hAnsiTheme="minorHAnsi" w:cstheme="minorHAnsi"/>
          <w:szCs w:val="24"/>
        </w:rPr>
        <w:t xml:space="preserve">” </w:t>
      </w:r>
      <w:r w:rsidR="007A754C">
        <w:rPr>
          <w:rFonts w:asciiTheme="minorHAnsi" w:hAnsiTheme="minorHAnsi" w:cstheme="minorHAnsi"/>
          <w:szCs w:val="24"/>
        </w:rPr>
        <w:t xml:space="preserve">de esa entidad </w:t>
      </w:r>
      <w:r w:rsidR="007A754C" w:rsidRPr="007A754C">
        <w:rPr>
          <w:rFonts w:asciiTheme="minorHAnsi" w:hAnsiTheme="minorHAnsi" w:cstheme="minorHAnsi"/>
          <w:szCs w:val="24"/>
        </w:rPr>
        <w:t>cabe informar que no se contempla entre las obligaciones de publicidad activa recogidas en los artículos 6 y 8 de la LTAIBG. No obstante, nada impide que esa entidad tome la decisión de su publicación de forma proactiva por su relevancia para garantizar la mayor transparencia de su actividad o por su utilidad para sus asociados. Se trataría, por tanto, de información adicional o complementaria a la exigida con carácter obligatorio por la Ley de transparencia, que puede llevarse a cabo de manera voluntaria y calificarse en tal caso como una buena práctica</w:t>
      </w:r>
      <w:r w:rsidR="007A754C">
        <w:rPr>
          <w:rFonts w:asciiTheme="minorHAnsi" w:hAnsiTheme="minorHAnsi" w:cstheme="minorHAnsi"/>
          <w:szCs w:val="24"/>
        </w:rPr>
        <w:t>, como así se recoge en el informe de evaluación</w:t>
      </w:r>
      <w:r w:rsidR="007A754C" w:rsidRPr="007A754C">
        <w:rPr>
          <w:rFonts w:asciiTheme="minorHAnsi" w:hAnsiTheme="minorHAnsi" w:cstheme="minorHAnsi"/>
          <w:szCs w:val="24"/>
        </w:rPr>
        <w:t>.</w:t>
      </w:r>
    </w:p>
    <w:p w:rsidR="007A754C" w:rsidRPr="00F50213" w:rsidRDefault="007A754C" w:rsidP="00752E7D">
      <w:pPr>
        <w:pStyle w:val="Prrafodelista"/>
        <w:numPr>
          <w:ilvl w:val="0"/>
          <w:numId w:val="1"/>
        </w:numPr>
        <w:autoSpaceDE w:val="0"/>
        <w:autoSpaceDN w:val="0"/>
        <w:adjustRightInd w:val="0"/>
        <w:spacing w:before="120" w:after="120" w:line="312" w:lineRule="auto"/>
        <w:ind w:left="709" w:firstLine="0"/>
        <w:jc w:val="both"/>
        <w:rPr>
          <w:rFonts w:asciiTheme="minorHAnsi" w:hAnsiTheme="minorHAnsi" w:cstheme="minorHAnsi"/>
          <w:b/>
          <w:szCs w:val="24"/>
        </w:rPr>
      </w:pPr>
      <w:r w:rsidRPr="00F50213">
        <w:rPr>
          <w:rFonts w:asciiTheme="minorHAnsi" w:hAnsiTheme="minorHAnsi" w:cstheme="minorHAnsi"/>
          <w:b/>
          <w:szCs w:val="24"/>
        </w:rPr>
        <w:t>Información Institucional y Organizativa.</w:t>
      </w:r>
    </w:p>
    <w:p w:rsidR="007A754C" w:rsidRDefault="007A754C" w:rsidP="00986061">
      <w:p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lo que se refiere a los </w:t>
      </w:r>
      <w:r w:rsidRPr="00F50213">
        <w:rPr>
          <w:rFonts w:asciiTheme="minorHAnsi" w:hAnsiTheme="minorHAnsi" w:cstheme="minorHAnsi"/>
          <w:szCs w:val="24"/>
          <w:u w:val="single"/>
        </w:rPr>
        <w:t>contenidos</w:t>
      </w:r>
      <w:r>
        <w:rPr>
          <w:rFonts w:asciiTheme="minorHAnsi" w:hAnsiTheme="minorHAnsi" w:cstheme="minorHAnsi"/>
          <w:szCs w:val="24"/>
        </w:rPr>
        <w:t xml:space="preserve">, se procede a corregir el error advertido sobre la estructura de la asociación, </w:t>
      </w:r>
      <w:r w:rsidR="002C72B4">
        <w:rPr>
          <w:rFonts w:asciiTheme="minorHAnsi" w:hAnsiTheme="minorHAnsi" w:cstheme="minorHAnsi"/>
          <w:szCs w:val="24"/>
        </w:rPr>
        <w:t>y se tiene</w:t>
      </w:r>
      <w:r>
        <w:rPr>
          <w:rFonts w:asciiTheme="minorHAnsi" w:hAnsiTheme="minorHAnsi" w:cstheme="minorHAnsi"/>
          <w:szCs w:val="24"/>
        </w:rPr>
        <w:t xml:space="preserve"> en cuenta a efectos de su valoración, la incorporación</w:t>
      </w:r>
      <w:r w:rsidR="00F50213">
        <w:rPr>
          <w:rFonts w:asciiTheme="minorHAnsi" w:hAnsiTheme="minorHAnsi" w:cstheme="minorHAnsi"/>
          <w:szCs w:val="24"/>
        </w:rPr>
        <w:t xml:space="preserve"> </w:t>
      </w:r>
      <w:r>
        <w:rPr>
          <w:rFonts w:asciiTheme="minorHAnsi" w:hAnsiTheme="minorHAnsi" w:cstheme="minorHAnsi"/>
          <w:szCs w:val="24"/>
        </w:rPr>
        <w:t>del perfil y trayectoria profesional de sus máximos responsables.</w:t>
      </w:r>
    </w:p>
    <w:p w:rsidR="00E710A1" w:rsidRDefault="00E710A1" w:rsidP="00986061">
      <w:p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lo que respecta a la </w:t>
      </w:r>
      <w:r w:rsidRPr="00F50213">
        <w:rPr>
          <w:rFonts w:asciiTheme="minorHAnsi" w:hAnsiTheme="minorHAnsi" w:cstheme="minorHAnsi"/>
          <w:szCs w:val="24"/>
          <w:u w:val="single"/>
        </w:rPr>
        <w:t>calidad</w:t>
      </w:r>
      <w:r>
        <w:rPr>
          <w:rFonts w:asciiTheme="minorHAnsi" w:hAnsiTheme="minorHAnsi" w:cstheme="minorHAnsi"/>
          <w:szCs w:val="24"/>
        </w:rPr>
        <w:t xml:space="preserve"> de la información cabe informar cuanto sigue:</w:t>
      </w:r>
    </w:p>
    <w:p w:rsidR="00056772" w:rsidRDefault="00E710A1" w:rsidP="00986061">
      <w:pPr>
        <w:pStyle w:val="Prrafodelista"/>
        <w:numPr>
          <w:ilvl w:val="0"/>
          <w:numId w:val="3"/>
        </w:numPr>
        <w:autoSpaceDE w:val="0"/>
        <w:autoSpaceDN w:val="0"/>
        <w:adjustRightInd w:val="0"/>
        <w:spacing w:before="120" w:after="120" w:line="312" w:lineRule="auto"/>
        <w:contextualSpacing w:val="0"/>
        <w:jc w:val="both"/>
        <w:rPr>
          <w:rFonts w:asciiTheme="minorHAnsi" w:hAnsiTheme="minorHAnsi" w:cstheme="minorHAnsi"/>
          <w:szCs w:val="24"/>
        </w:rPr>
      </w:pPr>
      <w:r w:rsidRPr="00E710A1">
        <w:rPr>
          <w:rFonts w:asciiTheme="minorHAnsi" w:hAnsiTheme="minorHAnsi" w:cstheme="minorHAnsi"/>
          <w:szCs w:val="24"/>
        </w:rPr>
        <w:t>Reutilizab</w:t>
      </w:r>
      <w:r>
        <w:rPr>
          <w:rFonts w:asciiTheme="minorHAnsi" w:hAnsiTheme="minorHAnsi" w:cstheme="minorHAnsi"/>
          <w:szCs w:val="24"/>
        </w:rPr>
        <w:t>l</w:t>
      </w:r>
      <w:r w:rsidRPr="00E710A1">
        <w:rPr>
          <w:rFonts w:asciiTheme="minorHAnsi" w:hAnsiTheme="minorHAnsi" w:cstheme="minorHAnsi"/>
          <w:szCs w:val="24"/>
        </w:rPr>
        <w:t>e</w:t>
      </w:r>
      <w:r>
        <w:rPr>
          <w:rFonts w:asciiTheme="minorHAnsi" w:hAnsiTheme="minorHAnsi" w:cstheme="minorHAnsi"/>
          <w:szCs w:val="24"/>
        </w:rPr>
        <w:t xml:space="preserve">: efectivamente, el artículo 5 de la LTAIBG señala que la información se ofrecerá </w:t>
      </w:r>
      <w:r w:rsidRPr="00976C5F">
        <w:rPr>
          <w:rFonts w:asciiTheme="minorHAnsi" w:hAnsiTheme="minorHAnsi" w:cstheme="minorHAnsi"/>
          <w:i/>
          <w:szCs w:val="24"/>
        </w:rPr>
        <w:t xml:space="preserve">preferentemente </w:t>
      </w:r>
      <w:r>
        <w:rPr>
          <w:rFonts w:asciiTheme="minorHAnsi" w:hAnsiTheme="minorHAnsi" w:cstheme="minorHAnsi"/>
          <w:szCs w:val="24"/>
        </w:rPr>
        <w:t xml:space="preserve">en formatos reutilizables. </w:t>
      </w:r>
      <w:r w:rsidR="00056772">
        <w:rPr>
          <w:rFonts w:asciiTheme="minorHAnsi" w:hAnsiTheme="minorHAnsi" w:cstheme="minorHAnsi"/>
          <w:szCs w:val="24"/>
        </w:rPr>
        <w:t>Precisamente por ello se prima la información que se ofrece en formato reutilizable frente a la información que se presenta directamente sobre la web o en un pdf de imagen. La pretensión última es materializar</w:t>
      </w:r>
      <w:r w:rsidR="00976C5F">
        <w:rPr>
          <w:rFonts w:asciiTheme="minorHAnsi" w:hAnsiTheme="minorHAnsi" w:cstheme="minorHAnsi"/>
          <w:szCs w:val="24"/>
        </w:rPr>
        <w:t xml:space="preserve"> </w:t>
      </w:r>
      <w:r w:rsidR="00056772">
        <w:rPr>
          <w:rFonts w:asciiTheme="minorHAnsi" w:hAnsiTheme="minorHAnsi" w:cstheme="minorHAnsi"/>
          <w:szCs w:val="24"/>
        </w:rPr>
        <w:t>l</w:t>
      </w:r>
      <w:r w:rsidR="002C72B4">
        <w:rPr>
          <w:rFonts w:asciiTheme="minorHAnsi" w:hAnsiTheme="minorHAnsi" w:cstheme="minorHAnsi"/>
          <w:szCs w:val="24"/>
        </w:rPr>
        <w:t>a previsión establecida en</w:t>
      </w:r>
      <w:r w:rsidR="00056772">
        <w:rPr>
          <w:rFonts w:asciiTheme="minorHAnsi" w:hAnsiTheme="minorHAnsi" w:cstheme="minorHAnsi"/>
          <w:szCs w:val="24"/>
        </w:rPr>
        <w:t xml:space="preserve"> la LTAIBG y </w:t>
      </w:r>
      <w:r w:rsidR="002C72B4">
        <w:rPr>
          <w:rFonts w:asciiTheme="minorHAnsi" w:hAnsiTheme="minorHAnsi" w:cstheme="minorHAnsi"/>
          <w:szCs w:val="24"/>
        </w:rPr>
        <w:t>consecuentemente</w:t>
      </w:r>
      <w:r w:rsidR="00056772">
        <w:rPr>
          <w:rFonts w:asciiTheme="minorHAnsi" w:hAnsiTheme="minorHAnsi" w:cstheme="minorHAnsi"/>
          <w:szCs w:val="24"/>
        </w:rPr>
        <w:t xml:space="preserve">, fomentar </w:t>
      </w:r>
      <w:r w:rsidR="00976C5F">
        <w:rPr>
          <w:rFonts w:asciiTheme="minorHAnsi" w:hAnsiTheme="minorHAnsi" w:cstheme="minorHAnsi"/>
          <w:szCs w:val="24"/>
        </w:rPr>
        <w:t xml:space="preserve">la práctica </w:t>
      </w:r>
      <w:r w:rsidR="002C72B4">
        <w:rPr>
          <w:rFonts w:asciiTheme="minorHAnsi" w:hAnsiTheme="minorHAnsi" w:cstheme="minorHAnsi"/>
          <w:szCs w:val="24"/>
        </w:rPr>
        <w:t xml:space="preserve">de publicar </w:t>
      </w:r>
      <w:r w:rsidR="00056772">
        <w:rPr>
          <w:rFonts w:asciiTheme="minorHAnsi" w:hAnsiTheme="minorHAnsi" w:cstheme="minorHAnsi"/>
          <w:szCs w:val="24"/>
        </w:rPr>
        <w:t>la información en formatos que permitan su reutilización, de acuerdo con la legislación aplicable en materia de reutilización de la información de sector público.</w:t>
      </w:r>
    </w:p>
    <w:p w:rsidR="00976C5F" w:rsidRDefault="00976C5F" w:rsidP="002C72B4">
      <w:pPr>
        <w:pStyle w:val="Default"/>
        <w:numPr>
          <w:ilvl w:val="0"/>
          <w:numId w:val="4"/>
        </w:numPr>
        <w:spacing w:before="120" w:after="120" w:line="312" w:lineRule="auto"/>
        <w:jc w:val="both"/>
        <w:rPr>
          <w:rFonts w:asciiTheme="minorHAnsi" w:cstheme="minorHAnsi"/>
        </w:rPr>
      </w:pPr>
      <w:r w:rsidRPr="00976C5F">
        <w:rPr>
          <w:rFonts w:asciiTheme="minorHAnsi" w:cstheme="minorHAnsi"/>
        </w:rPr>
        <w:t xml:space="preserve">Actualizada: no basta con que esa asociación asegure que la información se encuentra actualizada. Es necesario que el ciudadano pueda </w:t>
      </w:r>
      <w:r>
        <w:rPr>
          <w:rFonts w:asciiTheme="minorHAnsi" w:cstheme="minorHAnsi"/>
        </w:rPr>
        <w:t>saberlo</w:t>
      </w:r>
      <w:r w:rsidRPr="00976C5F">
        <w:rPr>
          <w:rFonts w:asciiTheme="minorHAnsi" w:cstheme="minorHAnsi"/>
        </w:rPr>
        <w:t xml:space="preserve"> sin necesidad de </w:t>
      </w:r>
      <w:r w:rsidR="00B830E6">
        <w:rPr>
          <w:rFonts w:asciiTheme="minorHAnsi" w:cstheme="minorHAnsi"/>
        </w:rPr>
        <w:t xml:space="preserve">una </w:t>
      </w:r>
      <w:r w:rsidRPr="00976C5F">
        <w:rPr>
          <w:rFonts w:asciiTheme="minorHAnsi" w:cstheme="minorHAnsi"/>
        </w:rPr>
        <w:t>act</w:t>
      </w:r>
      <w:r w:rsidR="00B830E6">
        <w:rPr>
          <w:rFonts w:asciiTheme="minorHAnsi" w:cstheme="minorHAnsi"/>
        </w:rPr>
        <w:t>ividad</w:t>
      </w:r>
      <w:r w:rsidRPr="00976C5F">
        <w:rPr>
          <w:rFonts w:asciiTheme="minorHAnsi" w:cstheme="minorHAnsi"/>
        </w:rPr>
        <w:t xml:space="preserve"> adicional. Y una información datada del año 2019 que es consultada en el año </w:t>
      </w:r>
      <w:r w:rsidRPr="00976C5F">
        <w:rPr>
          <w:rFonts w:asciiTheme="minorHAnsi" w:cstheme="minorHAnsi"/>
        </w:rPr>
        <w:lastRenderedPageBreak/>
        <w:t>2020 puede llegar a suscitar dudas sobre su actualidad</w:t>
      </w:r>
      <w:r w:rsidR="00B830E6">
        <w:rPr>
          <w:rFonts w:asciiTheme="minorHAnsi" w:cstheme="minorHAnsi"/>
        </w:rPr>
        <w:t>; lo mismo sucede si la información carece de cualquier referencia temporal</w:t>
      </w:r>
      <w:r w:rsidRPr="00976C5F">
        <w:rPr>
          <w:rFonts w:asciiTheme="minorHAnsi" w:cstheme="minorHAnsi"/>
        </w:rPr>
        <w:t xml:space="preserve">. </w:t>
      </w:r>
      <w:r w:rsidR="00B830E6">
        <w:rPr>
          <w:rFonts w:asciiTheme="minorHAnsi" w:cstheme="minorHAnsi"/>
        </w:rPr>
        <w:t>Por otra parte, en</w:t>
      </w:r>
      <w:r w:rsidR="005174CF">
        <w:rPr>
          <w:rFonts w:asciiTheme="minorHAnsi" w:cstheme="minorHAnsi"/>
        </w:rPr>
        <w:t xml:space="preserve"> la norma</w:t>
      </w:r>
      <w:r w:rsidR="002C72B4">
        <w:rPr>
          <w:rFonts w:asciiTheme="minorHAnsi" w:cstheme="minorHAnsi"/>
        </w:rPr>
        <w:t>tiva sobre</w:t>
      </w:r>
      <w:r w:rsidR="005174CF">
        <w:rPr>
          <w:rFonts w:asciiTheme="minorHAnsi" w:cstheme="minorHAnsi"/>
        </w:rPr>
        <w:t xml:space="preserve"> transparencia e</w:t>
      </w:r>
      <w:r w:rsidR="00034B2F" w:rsidRPr="00A0589B">
        <w:rPr>
          <w:rFonts w:asciiTheme="minorHAnsi" w:cstheme="minorHAnsi"/>
        </w:rPr>
        <w:t xml:space="preserve">l término </w:t>
      </w:r>
      <w:r w:rsidR="005174CF">
        <w:rPr>
          <w:rFonts w:asciiTheme="minorHAnsi" w:cstheme="minorHAnsi"/>
        </w:rPr>
        <w:t>“</w:t>
      </w:r>
      <w:r w:rsidR="00034B2F" w:rsidRPr="00A0589B">
        <w:rPr>
          <w:rFonts w:asciiTheme="minorHAnsi" w:cstheme="minorHAnsi"/>
        </w:rPr>
        <w:t>actualización</w:t>
      </w:r>
      <w:r w:rsidR="005174CF">
        <w:rPr>
          <w:rFonts w:asciiTheme="minorHAnsi" w:cstheme="minorHAnsi"/>
        </w:rPr>
        <w:t>”</w:t>
      </w:r>
      <w:r w:rsidR="00034B2F" w:rsidRPr="00A0589B">
        <w:rPr>
          <w:rFonts w:asciiTheme="minorHAnsi" w:cstheme="minorHAnsi"/>
        </w:rPr>
        <w:t xml:space="preserve"> suele venir acompañado de los adjetivos “periódica” y “permanente”.</w:t>
      </w:r>
      <w:r w:rsidR="00034B2F">
        <w:rPr>
          <w:rFonts w:asciiTheme="minorHAnsi" w:cstheme="minorHAnsi"/>
        </w:rPr>
        <w:t xml:space="preserve"> La cuestión reside en </w:t>
      </w:r>
      <w:r w:rsidR="002C72B4">
        <w:rPr>
          <w:rFonts w:asciiTheme="minorHAnsi" w:cstheme="minorHAnsi"/>
        </w:rPr>
        <w:t xml:space="preserve">concretar estas previsiones y </w:t>
      </w:r>
      <w:r w:rsidR="00034B2F">
        <w:rPr>
          <w:rFonts w:asciiTheme="minorHAnsi" w:cstheme="minorHAnsi"/>
        </w:rPr>
        <w:t>determinar el plazo óptimo de actualización de una información</w:t>
      </w:r>
      <w:r w:rsidR="002C72B4">
        <w:rPr>
          <w:rFonts w:asciiTheme="minorHAnsi" w:cstheme="minorHAnsi"/>
        </w:rPr>
        <w:t>.</w:t>
      </w:r>
      <w:r w:rsidR="005174CF">
        <w:rPr>
          <w:rFonts w:asciiTheme="minorHAnsi" w:cstheme="minorHAnsi"/>
        </w:rPr>
        <w:t xml:space="preserve"> Al respecto</w:t>
      </w:r>
      <w:r w:rsidR="00034B2F">
        <w:rPr>
          <w:rFonts w:asciiTheme="minorHAnsi" w:cstheme="minorHAnsi"/>
        </w:rPr>
        <w:t xml:space="preserve"> a</w:t>
      </w:r>
      <w:r w:rsidR="00034B2F" w:rsidRPr="00A0589B">
        <w:rPr>
          <w:rFonts w:asciiTheme="minorHAnsi" w:cstheme="minorHAnsi"/>
        </w:rPr>
        <w:t xml:space="preserve">lgunas de las </w:t>
      </w:r>
      <w:r w:rsidR="00034B2F">
        <w:rPr>
          <w:rFonts w:asciiTheme="minorHAnsi" w:cstheme="minorHAnsi"/>
        </w:rPr>
        <w:t>leyes de transparencia</w:t>
      </w:r>
      <w:r w:rsidR="00034B2F" w:rsidRPr="00A0589B">
        <w:rPr>
          <w:rFonts w:asciiTheme="minorHAnsi" w:cstheme="minorHAnsi"/>
        </w:rPr>
        <w:t xml:space="preserve"> fijan un plazo mínimo de actualización,</w:t>
      </w:r>
      <w:r w:rsidR="00034B2F">
        <w:rPr>
          <w:rFonts w:asciiTheme="minorHAnsi" w:cstheme="minorHAnsi"/>
        </w:rPr>
        <w:t xml:space="preserve"> </w:t>
      </w:r>
      <w:r w:rsidR="00034B2F" w:rsidRPr="00A0589B">
        <w:rPr>
          <w:rFonts w:asciiTheme="minorHAnsi" w:cstheme="minorHAnsi"/>
        </w:rPr>
        <w:t xml:space="preserve">normalmente de tres meses, </w:t>
      </w:r>
      <w:r w:rsidR="005174CF">
        <w:rPr>
          <w:rFonts w:asciiTheme="minorHAnsi" w:cstheme="minorHAnsi"/>
        </w:rPr>
        <w:t>el mi</w:t>
      </w:r>
      <w:r w:rsidR="002C72B4">
        <w:rPr>
          <w:rFonts w:asciiTheme="minorHAnsi" w:cstheme="minorHAnsi"/>
        </w:rPr>
        <w:t>s</w:t>
      </w:r>
      <w:r w:rsidR="005174CF">
        <w:rPr>
          <w:rFonts w:asciiTheme="minorHAnsi" w:cstheme="minorHAnsi"/>
        </w:rPr>
        <w:t>mo plazo que se establece en la LTA</w:t>
      </w:r>
      <w:r w:rsidR="00BA2407">
        <w:rPr>
          <w:rFonts w:asciiTheme="minorHAnsi" w:cstheme="minorHAnsi"/>
        </w:rPr>
        <w:t>I</w:t>
      </w:r>
      <w:r w:rsidR="005174CF">
        <w:rPr>
          <w:rFonts w:asciiTheme="minorHAnsi" w:cstheme="minorHAnsi"/>
        </w:rPr>
        <w:t>BG para la actualización de los contratos men</w:t>
      </w:r>
      <w:r w:rsidR="002C72B4">
        <w:rPr>
          <w:rFonts w:asciiTheme="minorHAnsi" w:cstheme="minorHAnsi"/>
        </w:rPr>
        <w:t>ores</w:t>
      </w:r>
      <w:r w:rsidR="005174CF">
        <w:rPr>
          <w:rFonts w:asciiTheme="minorHAnsi" w:cstheme="minorHAnsi"/>
        </w:rPr>
        <w:t>. Te</w:t>
      </w:r>
      <w:r w:rsidR="002C72B4">
        <w:rPr>
          <w:rFonts w:asciiTheme="minorHAnsi" w:cstheme="minorHAnsi"/>
        </w:rPr>
        <w:t xml:space="preserve">niendo </w:t>
      </w:r>
      <w:r w:rsidR="005174CF">
        <w:rPr>
          <w:rFonts w:asciiTheme="minorHAnsi" w:cstheme="minorHAnsi"/>
        </w:rPr>
        <w:t>en c</w:t>
      </w:r>
      <w:r w:rsidR="002C72B4">
        <w:rPr>
          <w:rFonts w:asciiTheme="minorHAnsi" w:cstheme="minorHAnsi"/>
        </w:rPr>
        <w:t>uenta</w:t>
      </w:r>
      <w:r w:rsidR="005174CF">
        <w:rPr>
          <w:rFonts w:asciiTheme="minorHAnsi" w:cstheme="minorHAnsi"/>
        </w:rPr>
        <w:t xml:space="preserve"> estas disp</w:t>
      </w:r>
      <w:r w:rsidR="002C72B4">
        <w:rPr>
          <w:rFonts w:asciiTheme="minorHAnsi" w:cstheme="minorHAnsi"/>
        </w:rPr>
        <w:t>osiciones</w:t>
      </w:r>
      <w:r w:rsidR="005174CF">
        <w:rPr>
          <w:rFonts w:asciiTheme="minorHAnsi" w:cstheme="minorHAnsi"/>
        </w:rPr>
        <w:t xml:space="preserve"> y </w:t>
      </w:r>
      <w:r w:rsidRPr="00976C5F">
        <w:rPr>
          <w:rFonts w:asciiTheme="minorHAnsi" w:cstheme="minorHAnsi"/>
        </w:rPr>
        <w:t xml:space="preserve">siguiendo la </w:t>
      </w:r>
      <w:r w:rsidR="00056772" w:rsidRPr="00976C5F">
        <w:rPr>
          <w:rFonts w:asciiTheme="minorHAnsi" w:cstheme="minorHAnsi"/>
        </w:rPr>
        <w:t>metodología de evaluación y seguimiento de la transparencia (MESTA)</w:t>
      </w:r>
      <w:r w:rsidR="005174CF">
        <w:rPr>
          <w:rFonts w:asciiTheme="minorHAnsi" w:cstheme="minorHAnsi"/>
        </w:rPr>
        <w:t xml:space="preserve">, es como se ha </w:t>
      </w:r>
      <w:r w:rsidR="00B830E6">
        <w:rPr>
          <w:rFonts w:asciiTheme="minorHAnsi" w:cstheme="minorHAnsi"/>
        </w:rPr>
        <w:t>fijado</w:t>
      </w:r>
      <w:r w:rsidR="005174CF">
        <w:rPr>
          <w:rFonts w:asciiTheme="minorHAnsi" w:cstheme="minorHAnsi"/>
        </w:rPr>
        <w:t xml:space="preserve"> en el anexo del b</w:t>
      </w:r>
      <w:r w:rsidR="00B830E6">
        <w:rPr>
          <w:rFonts w:asciiTheme="minorHAnsi" w:cstheme="minorHAnsi"/>
        </w:rPr>
        <w:t>orrador</w:t>
      </w:r>
      <w:r w:rsidR="005174CF">
        <w:rPr>
          <w:rFonts w:asciiTheme="minorHAnsi" w:cstheme="minorHAnsi"/>
        </w:rPr>
        <w:t xml:space="preserve"> al info</w:t>
      </w:r>
      <w:r w:rsidR="00B830E6">
        <w:rPr>
          <w:rFonts w:asciiTheme="minorHAnsi" w:cstheme="minorHAnsi"/>
        </w:rPr>
        <w:t>r</w:t>
      </w:r>
      <w:r w:rsidR="005174CF">
        <w:rPr>
          <w:rFonts w:asciiTheme="minorHAnsi" w:cstheme="minorHAnsi"/>
        </w:rPr>
        <w:t>m</w:t>
      </w:r>
      <w:r w:rsidR="00B830E6">
        <w:rPr>
          <w:rFonts w:asciiTheme="minorHAnsi" w:cstheme="minorHAnsi"/>
        </w:rPr>
        <w:t>e</w:t>
      </w:r>
      <w:r w:rsidR="005174CF">
        <w:rPr>
          <w:rFonts w:asciiTheme="minorHAnsi" w:cstheme="minorHAnsi"/>
        </w:rPr>
        <w:t xml:space="preserve"> </w:t>
      </w:r>
      <w:r w:rsidR="00B830E6">
        <w:rPr>
          <w:rFonts w:asciiTheme="minorHAnsi" w:cstheme="minorHAnsi"/>
        </w:rPr>
        <w:t xml:space="preserve">de evaluación </w:t>
      </w:r>
      <w:r w:rsidR="005174CF">
        <w:rPr>
          <w:rFonts w:asciiTheme="minorHAnsi" w:cstheme="minorHAnsi"/>
        </w:rPr>
        <w:t>el plazo de tres mese</w:t>
      </w:r>
      <w:r w:rsidR="00B830E6">
        <w:rPr>
          <w:rFonts w:asciiTheme="minorHAnsi" w:cstheme="minorHAnsi"/>
        </w:rPr>
        <w:t>s que en el mismo se consig</w:t>
      </w:r>
      <w:r w:rsidR="00BA2407">
        <w:rPr>
          <w:rFonts w:asciiTheme="minorHAnsi" w:cstheme="minorHAnsi"/>
        </w:rPr>
        <w:t>na</w:t>
      </w:r>
      <w:r w:rsidR="00B830E6">
        <w:rPr>
          <w:rFonts w:asciiTheme="minorHAnsi" w:cstheme="minorHAnsi"/>
        </w:rPr>
        <w:t>. Y todo ello sin perjuicio</w:t>
      </w:r>
      <w:r w:rsidR="005174CF">
        <w:rPr>
          <w:rFonts w:asciiTheme="minorHAnsi" w:cstheme="minorHAnsi"/>
        </w:rPr>
        <w:t xml:space="preserve"> de </w:t>
      </w:r>
      <w:r>
        <w:rPr>
          <w:rFonts w:asciiTheme="minorHAnsi" w:cstheme="minorHAnsi"/>
        </w:rPr>
        <w:t>que</w:t>
      </w:r>
      <w:r w:rsidR="00B830E6">
        <w:rPr>
          <w:rFonts w:asciiTheme="minorHAnsi" w:cstheme="minorHAnsi"/>
        </w:rPr>
        <w:t>, lógicamente, puede</w:t>
      </w:r>
      <w:r>
        <w:rPr>
          <w:rFonts w:asciiTheme="minorHAnsi" w:cstheme="minorHAnsi"/>
        </w:rPr>
        <w:t xml:space="preserve"> existir información cuyo plazo de actualización </w:t>
      </w:r>
      <w:r w:rsidR="00B830E6">
        <w:rPr>
          <w:rFonts w:asciiTheme="minorHAnsi" w:cstheme="minorHAnsi"/>
        </w:rPr>
        <w:t xml:space="preserve">sea inferior o </w:t>
      </w:r>
      <w:r>
        <w:rPr>
          <w:rFonts w:asciiTheme="minorHAnsi" w:cstheme="minorHAnsi"/>
        </w:rPr>
        <w:t>superior</w:t>
      </w:r>
      <w:r w:rsidR="005174CF">
        <w:rPr>
          <w:rFonts w:asciiTheme="minorHAnsi" w:cstheme="minorHAnsi"/>
        </w:rPr>
        <w:t xml:space="preserve"> </w:t>
      </w:r>
      <w:r w:rsidR="00B830E6">
        <w:rPr>
          <w:rFonts w:asciiTheme="minorHAnsi" w:cstheme="minorHAnsi"/>
        </w:rPr>
        <w:t>(</w:t>
      </w:r>
      <w:r w:rsidR="005174CF">
        <w:rPr>
          <w:rFonts w:asciiTheme="minorHAnsi" w:cstheme="minorHAnsi"/>
        </w:rPr>
        <w:t>cuen</w:t>
      </w:r>
      <w:r w:rsidR="00B830E6">
        <w:rPr>
          <w:rFonts w:asciiTheme="minorHAnsi" w:cstheme="minorHAnsi"/>
        </w:rPr>
        <w:t>tas</w:t>
      </w:r>
      <w:r w:rsidR="005174CF">
        <w:rPr>
          <w:rFonts w:asciiTheme="minorHAnsi" w:cstheme="minorHAnsi"/>
        </w:rPr>
        <w:t xml:space="preserve"> anuales)</w:t>
      </w:r>
      <w:r>
        <w:rPr>
          <w:rFonts w:asciiTheme="minorHAnsi" w:cstheme="minorHAnsi"/>
        </w:rPr>
        <w:t>.</w:t>
      </w:r>
    </w:p>
    <w:p w:rsidR="005174CF" w:rsidRPr="00F50213" w:rsidRDefault="005174CF" w:rsidP="00752E7D">
      <w:pPr>
        <w:pStyle w:val="Default"/>
        <w:numPr>
          <w:ilvl w:val="0"/>
          <w:numId w:val="1"/>
        </w:numPr>
        <w:tabs>
          <w:tab w:val="left" w:pos="709"/>
        </w:tabs>
        <w:spacing w:before="120" w:after="120" w:line="312" w:lineRule="auto"/>
        <w:ind w:left="709" w:firstLine="0"/>
        <w:jc w:val="both"/>
        <w:rPr>
          <w:rFonts w:asciiTheme="minorHAnsi" w:cstheme="minorHAnsi"/>
          <w:b/>
        </w:rPr>
      </w:pPr>
      <w:r w:rsidRPr="00F50213">
        <w:rPr>
          <w:rFonts w:asciiTheme="minorHAnsi" w:cstheme="minorHAnsi"/>
          <w:b/>
        </w:rPr>
        <w:t>Información económica y presup</w:t>
      </w:r>
      <w:r w:rsidR="00B830E6" w:rsidRPr="00F50213">
        <w:rPr>
          <w:rFonts w:asciiTheme="minorHAnsi" w:cstheme="minorHAnsi"/>
          <w:b/>
        </w:rPr>
        <w:t>uestaria</w:t>
      </w:r>
      <w:r w:rsidRPr="00F50213">
        <w:rPr>
          <w:rFonts w:asciiTheme="minorHAnsi" w:cstheme="minorHAnsi"/>
          <w:b/>
        </w:rPr>
        <w:t xml:space="preserve"> </w:t>
      </w:r>
    </w:p>
    <w:p w:rsidR="00B830E6" w:rsidRDefault="007957DD" w:rsidP="00986061">
      <w:pPr>
        <w:autoSpaceDE w:val="0"/>
        <w:autoSpaceDN w:val="0"/>
        <w:adjustRightInd w:val="0"/>
        <w:spacing w:before="120" w:after="120" w:line="312" w:lineRule="auto"/>
        <w:jc w:val="both"/>
        <w:rPr>
          <w:rFonts w:asciiTheme="minorHAnsi" w:hAnsiTheme="minorHAnsi" w:cstheme="minorHAnsi"/>
          <w:szCs w:val="24"/>
        </w:rPr>
      </w:pPr>
      <w:r w:rsidRPr="007957DD">
        <w:rPr>
          <w:rFonts w:asciiTheme="minorHAnsi" w:hAnsiTheme="minorHAnsi" w:cstheme="minorHAnsi"/>
          <w:szCs w:val="24"/>
        </w:rPr>
        <w:t>En lo que se refiere a los contenidos, se procede a valorar la incorporación</w:t>
      </w:r>
      <w:r w:rsidR="00F50213">
        <w:rPr>
          <w:rFonts w:asciiTheme="minorHAnsi" w:hAnsiTheme="minorHAnsi" w:cstheme="minorHAnsi"/>
          <w:szCs w:val="24"/>
        </w:rPr>
        <w:t xml:space="preserve"> </w:t>
      </w:r>
      <w:r w:rsidRPr="007957DD">
        <w:rPr>
          <w:rFonts w:asciiTheme="minorHAnsi" w:hAnsiTheme="minorHAnsi" w:cstheme="minorHAnsi"/>
          <w:szCs w:val="24"/>
        </w:rPr>
        <w:t xml:space="preserve">de la información relativa a </w:t>
      </w:r>
      <w:r w:rsidR="00B830E6">
        <w:rPr>
          <w:rFonts w:asciiTheme="minorHAnsi" w:hAnsiTheme="minorHAnsi" w:cstheme="minorHAnsi"/>
          <w:szCs w:val="24"/>
        </w:rPr>
        <w:t xml:space="preserve">subvenciones, </w:t>
      </w:r>
      <w:r w:rsidRPr="007957DD">
        <w:rPr>
          <w:rFonts w:asciiTheme="minorHAnsi" w:hAnsiTheme="minorHAnsi" w:cstheme="minorHAnsi"/>
          <w:szCs w:val="24"/>
        </w:rPr>
        <w:t>cuen</w:t>
      </w:r>
      <w:r w:rsidR="00B830E6">
        <w:rPr>
          <w:rFonts w:asciiTheme="minorHAnsi" w:hAnsiTheme="minorHAnsi" w:cstheme="minorHAnsi"/>
          <w:szCs w:val="24"/>
        </w:rPr>
        <w:t>tas</w:t>
      </w:r>
      <w:r w:rsidRPr="007957DD">
        <w:rPr>
          <w:rFonts w:asciiTheme="minorHAnsi" w:hAnsiTheme="minorHAnsi" w:cstheme="minorHAnsi"/>
          <w:szCs w:val="24"/>
        </w:rPr>
        <w:t xml:space="preserve"> anuales</w:t>
      </w:r>
      <w:r w:rsidR="00B830E6">
        <w:rPr>
          <w:rFonts w:asciiTheme="minorHAnsi" w:hAnsiTheme="minorHAnsi" w:cstheme="minorHAnsi"/>
          <w:szCs w:val="24"/>
        </w:rPr>
        <w:t>, informe de auditoría y la relativa a la inexistencia de contratos y convenios con la Administración Pública.</w:t>
      </w:r>
      <w:r w:rsidR="00F50213">
        <w:rPr>
          <w:rFonts w:asciiTheme="minorHAnsi" w:hAnsiTheme="minorHAnsi" w:cstheme="minorHAnsi"/>
          <w:szCs w:val="24"/>
        </w:rPr>
        <w:t xml:space="preserve"> Respecto de esto último, es obvio que debe explicitarse la circunstancia de no disponer de información, ya que el ciudadano no tiene por qué deducir que la omisión de una determinada </w:t>
      </w:r>
      <w:r w:rsidR="00752E7D">
        <w:rPr>
          <w:rFonts w:asciiTheme="minorHAnsi" w:hAnsiTheme="minorHAnsi" w:cstheme="minorHAnsi"/>
          <w:szCs w:val="24"/>
        </w:rPr>
        <w:t xml:space="preserve">información pueda equivaler  en todo caso a su inexistencia. </w:t>
      </w:r>
    </w:p>
    <w:p w:rsidR="00F50213" w:rsidRPr="00F50213" w:rsidRDefault="00F50213" w:rsidP="00F50213">
      <w:pPr>
        <w:pStyle w:val="Prrafodelista"/>
        <w:numPr>
          <w:ilvl w:val="0"/>
          <w:numId w:val="1"/>
        </w:num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Tras </w:t>
      </w:r>
      <w:r w:rsidRPr="006F17B5">
        <w:rPr>
          <w:rFonts w:asciiTheme="minorHAnsi" w:hAnsiTheme="minorHAnsi" w:cstheme="minorHAnsi"/>
          <w:sz w:val="24"/>
          <w:szCs w:val="24"/>
        </w:rPr>
        <w:t xml:space="preserve">la revisión efectuada por parte de este Consejo, el Indicador de Cumplimiento de la Información Obligatoria correspondiente a </w:t>
      </w:r>
      <w:r>
        <w:rPr>
          <w:rFonts w:asciiTheme="minorHAnsi" w:hAnsiTheme="minorHAnsi" w:cstheme="minorHAnsi"/>
          <w:sz w:val="24"/>
          <w:szCs w:val="24"/>
        </w:rPr>
        <w:t>ADICAE</w:t>
      </w:r>
      <w:r w:rsidRPr="006F17B5">
        <w:rPr>
          <w:rFonts w:asciiTheme="minorHAnsi" w:hAnsiTheme="minorHAnsi" w:cstheme="minorHAnsi"/>
          <w:sz w:val="24"/>
          <w:szCs w:val="24"/>
        </w:rPr>
        <w:t xml:space="preserve">, se sitúa en el </w:t>
      </w:r>
      <w:r>
        <w:rPr>
          <w:rFonts w:asciiTheme="minorHAnsi" w:hAnsiTheme="minorHAnsi" w:cstheme="minorHAnsi"/>
          <w:sz w:val="24"/>
          <w:szCs w:val="24"/>
        </w:rPr>
        <w:t>6</w:t>
      </w:r>
      <w:r w:rsidR="00BD5033">
        <w:rPr>
          <w:rFonts w:asciiTheme="minorHAnsi" w:hAnsiTheme="minorHAnsi" w:cstheme="minorHAnsi"/>
          <w:sz w:val="24"/>
          <w:szCs w:val="24"/>
        </w:rPr>
        <w:t>7,5</w:t>
      </w:r>
      <w:bookmarkStart w:id="0" w:name="_GoBack"/>
      <w:bookmarkEnd w:id="0"/>
      <w:r>
        <w:rPr>
          <w:rFonts w:asciiTheme="minorHAnsi" w:hAnsiTheme="minorHAnsi" w:cstheme="minorHAnsi"/>
          <w:sz w:val="24"/>
          <w:szCs w:val="24"/>
        </w:rPr>
        <w:t xml:space="preserve"> %</w:t>
      </w:r>
      <w:r w:rsidRPr="006F17B5">
        <w:rPr>
          <w:rFonts w:asciiTheme="minorHAnsi" w:hAnsiTheme="minorHAnsi" w:cstheme="minorHAnsi"/>
          <w:sz w:val="24"/>
          <w:szCs w:val="24"/>
        </w:rPr>
        <w:t>.</w:t>
      </w:r>
    </w:p>
    <w:p w:rsidR="00F50213" w:rsidRPr="00F50213" w:rsidRDefault="00F50213" w:rsidP="00F50213">
      <w:pPr>
        <w:pStyle w:val="Prrafodelista"/>
        <w:numPr>
          <w:ilvl w:val="0"/>
          <w:numId w:val="1"/>
        </w:numPr>
        <w:autoSpaceDE w:val="0"/>
        <w:autoSpaceDN w:val="0"/>
        <w:adjustRightInd w:val="0"/>
        <w:spacing w:before="120" w:after="120" w:line="312" w:lineRule="auto"/>
        <w:jc w:val="both"/>
        <w:rPr>
          <w:rFonts w:asciiTheme="minorHAnsi" w:hAnsiTheme="minorHAnsi" w:cstheme="minorHAnsi"/>
          <w:szCs w:val="24"/>
        </w:rPr>
      </w:pPr>
      <w:r>
        <w:rPr>
          <w:rFonts w:asciiTheme="minorHAnsi" w:hAnsiTheme="minorHAnsi" w:cstheme="minorHAnsi"/>
          <w:sz w:val="24"/>
          <w:szCs w:val="24"/>
        </w:rPr>
        <w:t>Este Consejo valora muy positivamente el esfuerzo realizado por ADICAE en la implantación de las recomendaciones efectuadas y en la mejora consecuente en el cumplimiento de las obligaciones de publicidad activa. Y espera que la lectura del presente informe le haya despejado las dudas suscitadas con la actividad desplegada por este organismo y la metodología empleada para evaluar el nivel de cumplimiento de sus obligaciones de publicidad activa.</w:t>
      </w:r>
    </w:p>
    <w:p w:rsidR="006F17B5" w:rsidRPr="006F17B5" w:rsidRDefault="006F17B5" w:rsidP="00986061">
      <w:pPr>
        <w:pStyle w:val="Prrafodelista"/>
        <w:autoSpaceDE w:val="0"/>
        <w:autoSpaceDN w:val="0"/>
        <w:adjustRightInd w:val="0"/>
        <w:spacing w:before="120" w:after="120" w:line="312" w:lineRule="auto"/>
        <w:jc w:val="both"/>
        <w:rPr>
          <w:rFonts w:asciiTheme="minorHAnsi" w:hAnsiTheme="minorHAnsi" w:cstheme="minorHAnsi"/>
          <w:sz w:val="24"/>
          <w:szCs w:val="24"/>
        </w:rPr>
      </w:pPr>
    </w:p>
    <w:p w:rsidR="006F17B5" w:rsidRPr="006F17B5" w:rsidRDefault="006F17B5" w:rsidP="00986061">
      <w:pPr>
        <w:autoSpaceDE w:val="0"/>
        <w:autoSpaceDN w:val="0"/>
        <w:adjustRightInd w:val="0"/>
        <w:spacing w:before="120" w:after="120" w:line="312" w:lineRule="auto"/>
        <w:jc w:val="right"/>
        <w:rPr>
          <w:rFonts w:asciiTheme="minorHAnsi" w:hAnsiTheme="minorHAnsi" w:cstheme="minorHAnsi"/>
          <w:szCs w:val="24"/>
        </w:rPr>
      </w:pPr>
      <w:r w:rsidRPr="006F17B5">
        <w:rPr>
          <w:rFonts w:asciiTheme="minorHAnsi" w:hAnsiTheme="minorHAnsi" w:cstheme="minorHAnsi"/>
          <w:szCs w:val="24"/>
        </w:rPr>
        <w:t>Madrid, ju</w:t>
      </w:r>
      <w:r w:rsidR="00F50213">
        <w:rPr>
          <w:rFonts w:asciiTheme="minorHAnsi" w:hAnsiTheme="minorHAnsi" w:cstheme="minorHAnsi"/>
          <w:szCs w:val="24"/>
        </w:rPr>
        <w:t>lio</w:t>
      </w:r>
      <w:r w:rsidRPr="006F17B5">
        <w:rPr>
          <w:rFonts w:asciiTheme="minorHAnsi" w:hAnsiTheme="minorHAnsi" w:cstheme="minorHAnsi"/>
          <w:szCs w:val="24"/>
        </w:rPr>
        <w:t xml:space="preserve"> de 2020</w:t>
      </w:r>
    </w:p>
    <w:p w:rsidR="006F17B5" w:rsidRDefault="006F17B5" w:rsidP="00986061">
      <w:pPr>
        <w:spacing w:before="120" w:after="120" w:line="312" w:lineRule="auto"/>
      </w:pPr>
    </w:p>
    <w:sectPr w:rsidR="006F17B5" w:rsidSect="00C23F36">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13" w:rsidRDefault="00F50213" w:rsidP="00344FE7">
      <w:pPr>
        <w:spacing w:after="0" w:line="240" w:lineRule="auto"/>
      </w:pPr>
      <w:r>
        <w:separator/>
      </w:r>
    </w:p>
  </w:endnote>
  <w:endnote w:type="continuationSeparator" w:id="0">
    <w:p w:rsidR="00F50213" w:rsidRDefault="00F5021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F50213" w:rsidRPr="00C23F36" w:rsidRDefault="00F50213"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D5033">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13" w:rsidRDefault="00F50213" w:rsidP="00344FE7">
      <w:pPr>
        <w:spacing w:after="0" w:line="240" w:lineRule="auto"/>
      </w:pPr>
      <w:r>
        <w:separator/>
      </w:r>
    </w:p>
  </w:footnote>
  <w:footnote w:type="continuationSeparator" w:id="0">
    <w:p w:rsidR="00F50213" w:rsidRDefault="00F5021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13" w:rsidRDefault="00F50213">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F50213" w:rsidRDefault="00F50213">
    <w:pPr>
      <w:pStyle w:val="Encabezado"/>
    </w:pPr>
  </w:p>
  <w:p w:rsidR="00F50213" w:rsidRDefault="00F50213" w:rsidP="00344FE7">
    <w:pPr>
      <w:pStyle w:val="Encabezado"/>
    </w:pPr>
  </w:p>
  <w:p w:rsidR="00F50213" w:rsidRDefault="00F50213" w:rsidP="00344FE7">
    <w:pPr>
      <w:pStyle w:val="Encabezado"/>
    </w:pPr>
  </w:p>
  <w:p w:rsidR="00F50213" w:rsidRDefault="00F50213"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13" w:rsidRDefault="00F50213"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AF5CD76C"/>
    <w:lvl w:ilvl="0" w:tplc="026E9314">
      <w:start w:val="1"/>
      <w:numFmt w:val="decimal"/>
      <w:lvlText w:val="%1."/>
      <w:lvlJc w:val="left"/>
      <w:pPr>
        <w:ind w:left="1080" w:hanging="360"/>
      </w:pPr>
      <w:rPr>
        <w:rFonts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514470FC"/>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4B2F"/>
    <w:rsid w:val="00056772"/>
    <w:rsid w:val="001257F9"/>
    <w:rsid w:val="0014196C"/>
    <w:rsid w:val="001750A8"/>
    <w:rsid w:val="00175D6C"/>
    <w:rsid w:val="0018324C"/>
    <w:rsid w:val="001B16D9"/>
    <w:rsid w:val="001E44BC"/>
    <w:rsid w:val="00251194"/>
    <w:rsid w:val="002C72B4"/>
    <w:rsid w:val="00323B32"/>
    <w:rsid w:val="003259B9"/>
    <w:rsid w:val="00344FE7"/>
    <w:rsid w:val="00351475"/>
    <w:rsid w:val="003656B1"/>
    <w:rsid w:val="003B5DE7"/>
    <w:rsid w:val="003F38BD"/>
    <w:rsid w:val="00455EA5"/>
    <w:rsid w:val="004B15B8"/>
    <w:rsid w:val="005174CF"/>
    <w:rsid w:val="0065650D"/>
    <w:rsid w:val="006F17B5"/>
    <w:rsid w:val="006F5890"/>
    <w:rsid w:val="0071472F"/>
    <w:rsid w:val="007342F2"/>
    <w:rsid w:val="00752E7D"/>
    <w:rsid w:val="007932CD"/>
    <w:rsid w:val="007957DD"/>
    <w:rsid w:val="007A662D"/>
    <w:rsid w:val="007A754C"/>
    <w:rsid w:val="007C00E5"/>
    <w:rsid w:val="007C0642"/>
    <w:rsid w:val="007D24E2"/>
    <w:rsid w:val="00815DA2"/>
    <w:rsid w:val="0089717A"/>
    <w:rsid w:val="00901F1F"/>
    <w:rsid w:val="009029E0"/>
    <w:rsid w:val="00976C5F"/>
    <w:rsid w:val="00983490"/>
    <w:rsid w:val="00986061"/>
    <w:rsid w:val="009D2560"/>
    <w:rsid w:val="009D6677"/>
    <w:rsid w:val="009E30AA"/>
    <w:rsid w:val="00A61864"/>
    <w:rsid w:val="00A7358A"/>
    <w:rsid w:val="00B2797F"/>
    <w:rsid w:val="00B31F84"/>
    <w:rsid w:val="00B35A53"/>
    <w:rsid w:val="00B830E6"/>
    <w:rsid w:val="00BA2407"/>
    <w:rsid w:val="00BC7A82"/>
    <w:rsid w:val="00BD5033"/>
    <w:rsid w:val="00C23F36"/>
    <w:rsid w:val="00C305B6"/>
    <w:rsid w:val="00C3135F"/>
    <w:rsid w:val="00C736B9"/>
    <w:rsid w:val="00CD4E80"/>
    <w:rsid w:val="00D445A4"/>
    <w:rsid w:val="00DB2CB4"/>
    <w:rsid w:val="00DB2CCC"/>
    <w:rsid w:val="00DD07B5"/>
    <w:rsid w:val="00E03C82"/>
    <w:rsid w:val="00E17499"/>
    <w:rsid w:val="00E4386D"/>
    <w:rsid w:val="00E5135F"/>
    <w:rsid w:val="00E64F85"/>
    <w:rsid w:val="00E710A1"/>
    <w:rsid w:val="00EB7058"/>
    <w:rsid w:val="00EC3AAE"/>
    <w:rsid w:val="00EF5F68"/>
    <w:rsid w:val="00F50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character" w:customStyle="1" w:styleId="e24kjd">
    <w:name w:val="e24kjd"/>
    <w:basedOn w:val="Fuentedeprrafopredeter"/>
    <w:rsid w:val="0065650D"/>
  </w:style>
  <w:style w:type="paragraph" w:customStyle="1" w:styleId="Default">
    <w:name w:val="Default"/>
    <w:rsid w:val="00976C5F"/>
    <w:pPr>
      <w:autoSpaceDE w:val="0"/>
      <w:autoSpaceDN w:val="0"/>
      <w:adjustRightInd w:val="0"/>
      <w:spacing w:after="0" w:line="240" w:lineRule="auto"/>
    </w:pPr>
    <w:rPr>
      <w:rFonts w:ascii="Arial Unicode MS" w:eastAsia="Arial Unicode MS" w:hAnsiTheme="minorHAnsi" w:cs="Arial Unicode M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character" w:customStyle="1" w:styleId="e24kjd">
    <w:name w:val="e24kjd"/>
    <w:basedOn w:val="Fuentedeprrafopredeter"/>
    <w:rsid w:val="0065650D"/>
  </w:style>
  <w:style w:type="paragraph" w:customStyle="1" w:styleId="Default">
    <w:name w:val="Default"/>
    <w:rsid w:val="00976C5F"/>
    <w:pPr>
      <w:autoSpaceDE w:val="0"/>
      <w:autoSpaceDN w:val="0"/>
      <w:adjustRightInd w:val="0"/>
      <w:spacing w:after="0" w:line="240" w:lineRule="auto"/>
    </w:pPr>
    <w:rPr>
      <w:rFonts w:ascii="Arial Unicode MS" w:eastAsia="Arial Unicode MS" w:hAnsiTheme="minorHAnsi" w:cs="Arial Unicode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6108">
      <w:bodyDiv w:val="1"/>
      <w:marLeft w:val="0"/>
      <w:marRight w:val="0"/>
      <w:marTop w:val="0"/>
      <w:marBottom w:val="0"/>
      <w:divBdr>
        <w:top w:val="none" w:sz="0" w:space="0" w:color="auto"/>
        <w:left w:val="none" w:sz="0" w:space="0" w:color="auto"/>
        <w:bottom w:val="none" w:sz="0" w:space="0" w:color="auto"/>
        <w:right w:val="none" w:sz="0" w:space="0" w:color="auto"/>
      </w:divBdr>
    </w:div>
    <w:div w:id="65387833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ejodetransparencia.es/ct_Home/Actividad/documentacio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1147</Words>
  <Characters>6310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MERCEDES PAJA FANO</cp:lastModifiedBy>
  <cp:revision>9</cp:revision>
  <cp:lastPrinted>2015-01-27T17:42:00Z</cp:lastPrinted>
  <dcterms:created xsi:type="dcterms:W3CDTF">2020-06-30T11:12:00Z</dcterms:created>
  <dcterms:modified xsi:type="dcterms:W3CDTF">2020-07-10T09:08:00Z</dcterms:modified>
</cp:coreProperties>
</file>