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INFORME RELATIVO A LAS OBSERVACIONES REMITIDAS EN RELACIÓN CON EL INFORME DEL CTBG SOBRE CUMPLIMIENTO DE LAS OBLIGACIONES DE PUBLICIDAD ACTIVA ESTABLECIDAS POR LA LTAIB</w:t>
      </w:r>
      <w:r w:rsidR="00B5520E">
        <w:rPr>
          <w:color w:val="6BA999"/>
        </w:rPr>
        <w:t xml:space="preserve"> POR PARTE DEL PORTAL DE LA TRANPARENCIA DE LA ADMINISTRACIÓN GENERAL DEL ESTADO </w:t>
      </w:r>
    </w:p>
    <w:p w:rsidR="006F17B5" w:rsidRPr="006F17B5" w:rsidRDefault="006F17B5" w:rsidP="006F17B5">
      <w:pPr>
        <w:jc w:val="center"/>
        <w:rPr>
          <w:rFonts w:asciiTheme="minorHAnsi" w:hAnsiTheme="minorHAnsi" w:cstheme="minorHAnsi"/>
          <w:szCs w:val="24"/>
        </w:rPr>
      </w:pPr>
    </w:p>
    <w:p w:rsidR="006D4BF3" w:rsidRPr="00563923" w:rsidRDefault="00D23111" w:rsidP="00563923">
      <w:pPr>
        <w:tabs>
          <w:tab w:val="left" w:pos="284"/>
        </w:tabs>
        <w:spacing w:before="120" w:after="120" w:line="312" w:lineRule="auto"/>
        <w:jc w:val="both"/>
        <w:rPr>
          <w:rFonts w:asciiTheme="minorHAnsi" w:hAnsiTheme="minorHAnsi" w:cstheme="minorHAnsi"/>
          <w:sz w:val="22"/>
        </w:rPr>
      </w:pPr>
      <w:r w:rsidRPr="00563923">
        <w:rPr>
          <w:rFonts w:asciiTheme="minorHAnsi" w:hAnsiTheme="minorHAnsi" w:cstheme="minorHAnsi"/>
          <w:sz w:val="22"/>
        </w:rPr>
        <w:t>En contestación a</w:t>
      </w:r>
      <w:r w:rsidR="00B5520E" w:rsidRPr="00563923">
        <w:rPr>
          <w:rFonts w:asciiTheme="minorHAnsi" w:hAnsiTheme="minorHAnsi" w:cstheme="minorHAnsi"/>
          <w:sz w:val="22"/>
        </w:rPr>
        <w:t>l informe emitido el 28 de junio de 2021</w:t>
      </w:r>
      <w:r w:rsidR="00C119CE" w:rsidRPr="00563923">
        <w:rPr>
          <w:rFonts w:asciiTheme="minorHAnsi" w:hAnsiTheme="minorHAnsi" w:cstheme="minorHAnsi"/>
          <w:sz w:val="22"/>
        </w:rPr>
        <w:t>,</w:t>
      </w:r>
      <w:r w:rsidR="005B1C12" w:rsidRPr="00563923">
        <w:rPr>
          <w:rFonts w:asciiTheme="minorHAnsi" w:hAnsiTheme="minorHAnsi" w:cstheme="minorHAnsi"/>
          <w:sz w:val="22"/>
        </w:rPr>
        <w:t xml:space="preserve"> </w:t>
      </w:r>
      <w:r w:rsidR="00DC20E5" w:rsidRPr="00563923">
        <w:rPr>
          <w:rFonts w:asciiTheme="minorHAnsi" w:hAnsiTheme="minorHAnsi" w:cstheme="minorHAnsi"/>
          <w:sz w:val="22"/>
        </w:rPr>
        <w:t xml:space="preserve">y </w:t>
      </w:r>
      <w:r w:rsidRPr="00563923">
        <w:rPr>
          <w:rFonts w:asciiTheme="minorHAnsi" w:hAnsiTheme="minorHAnsi" w:cstheme="minorHAnsi"/>
          <w:sz w:val="22"/>
        </w:rPr>
        <w:t xml:space="preserve">una vez analizadas las observaciones realizadas al borrador de informe de evaluación </w:t>
      </w:r>
      <w:r w:rsidR="00B81EE6" w:rsidRPr="00563923">
        <w:rPr>
          <w:rFonts w:asciiTheme="minorHAnsi" w:hAnsiTheme="minorHAnsi" w:cstheme="minorHAnsi"/>
          <w:sz w:val="22"/>
        </w:rPr>
        <w:t xml:space="preserve">relativo al </w:t>
      </w:r>
      <w:r w:rsidRPr="00563923">
        <w:rPr>
          <w:rFonts w:asciiTheme="minorHAnsi" w:hAnsiTheme="minorHAnsi" w:cstheme="minorHAnsi"/>
          <w:sz w:val="22"/>
        </w:rPr>
        <w:t>cumplimiento de las obligaciones de publicidad activa por parte de</w:t>
      </w:r>
      <w:r w:rsidR="00B5520E" w:rsidRPr="00563923">
        <w:rPr>
          <w:rFonts w:asciiTheme="minorHAnsi" w:hAnsiTheme="minorHAnsi" w:cstheme="minorHAnsi"/>
          <w:sz w:val="22"/>
        </w:rPr>
        <w:t xml:space="preserve">l Portal de la Transparencia de la Administración General del Estado, el Consejo de Transparencia y Buen Gobierno </w:t>
      </w:r>
      <w:r w:rsidRPr="00563923">
        <w:rPr>
          <w:rFonts w:asciiTheme="minorHAnsi" w:hAnsiTheme="minorHAnsi" w:cstheme="minorHAnsi"/>
          <w:sz w:val="22"/>
        </w:rPr>
        <w:t>efectúa las siguientes consideraciones</w:t>
      </w:r>
      <w:r w:rsidR="006D4BF3" w:rsidRPr="00563923">
        <w:rPr>
          <w:rFonts w:asciiTheme="minorHAnsi" w:hAnsiTheme="minorHAnsi" w:cstheme="minorHAnsi"/>
          <w:sz w:val="22"/>
        </w:rPr>
        <w:t>.</w:t>
      </w:r>
    </w:p>
    <w:p w:rsidR="006D4BF3" w:rsidRPr="00563923" w:rsidRDefault="006D4BF3" w:rsidP="00563923">
      <w:pPr>
        <w:tabs>
          <w:tab w:val="left" w:pos="284"/>
        </w:tabs>
        <w:spacing w:before="120" w:after="120" w:line="312" w:lineRule="auto"/>
        <w:jc w:val="both"/>
        <w:rPr>
          <w:rFonts w:asciiTheme="minorHAnsi" w:hAnsiTheme="minorHAnsi" w:cstheme="minorHAnsi"/>
          <w:sz w:val="22"/>
        </w:rPr>
      </w:pPr>
      <w:r w:rsidRPr="00563923">
        <w:rPr>
          <w:rFonts w:asciiTheme="minorHAnsi" w:hAnsiTheme="minorHAnsi" w:cstheme="minorHAnsi"/>
          <w:sz w:val="22"/>
        </w:rPr>
        <w:t xml:space="preserve"> </w:t>
      </w:r>
    </w:p>
    <w:p w:rsidR="00D23111" w:rsidRPr="004D246C" w:rsidRDefault="006D4BF3" w:rsidP="00563923">
      <w:pPr>
        <w:tabs>
          <w:tab w:val="left" w:pos="284"/>
        </w:tabs>
        <w:spacing w:before="120" w:after="120" w:line="312" w:lineRule="auto"/>
        <w:jc w:val="both"/>
        <w:rPr>
          <w:rFonts w:asciiTheme="minorHAnsi" w:hAnsiTheme="minorHAnsi" w:cstheme="minorHAnsi"/>
          <w:b/>
          <w:color w:val="365F91" w:themeColor="accent1" w:themeShade="BF"/>
          <w:szCs w:val="24"/>
        </w:rPr>
      </w:pPr>
      <w:r w:rsidRPr="008C2B46">
        <w:rPr>
          <w:rFonts w:asciiTheme="minorHAnsi" w:hAnsiTheme="minorHAnsi" w:cstheme="minorHAnsi"/>
          <w:b/>
          <w:color w:val="00B050"/>
          <w:szCs w:val="24"/>
        </w:rPr>
        <w:t>Localización y estructuración de la información</w:t>
      </w:r>
    </w:p>
    <w:p w:rsidR="00210111" w:rsidRPr="00563923" w:rsidRDefault="00210111" w:rsidP="00563923">
      <w:pPr>
        <w:tabs>
          <w:tab w:val="left" w:pos="284"/>
        </w:tabs>
        <w:spacing w:before="120" w:after="120" w:line="312" w:lineRule="auto"/>
        <w:jc w:val="both"/>
        <w:rPr>
          <w:rFonts w:asciiTheme="minorHAnsi" w:hAnsiTheme="minorHAnsi" w:cstheme="minorHAnsi"/>
          <w:sz w:val="22"/>
        </w:rPr>
      </w:pPr>
    </w:p>
    <w:p w:rsidR="00440C9A" w:rsidRDefault="00440C9A" w:rsidP="00563923">
      <w:pPr>
        <w:pStyle w:val="Prrafodelista"/>
        <w:numPr>
          <w:ilvl w:val="0"/>
          <w:numId w:val="17"/>
        </w:numPr>
        <w:spacing w:before="120" w:after="120" w:line="312" w:lineRule="auto"/>
        <w:contextualSpacing w:val="0"/>
        <w:jc w:val="both"/>
        <w:rPr>
          <w:rFonts w:asciiTheme="minorHAnsi" w:hAnsiTheme="minorHAnsi" w:cstheme="minorHAnsi"/>
        </w:rPr>
      </w:pPr>
      <w:r w:rsidRPr="00563923">
        <w:rPr>
          <w:rFonts w:asciiTheme="minorHAnsi" w:hAnsiTheme="minorHAnsi" w:cstheme="minorHAnsi"/>
        </w:rPr>
        <w:t>El comentario referido a que “</w:t>
      </w:r>
      <w:r w:rsidRPr="00563923">
        <w:rPr>
          <w:rFonts w:asciiTheme="minorHAnsi" w:hAnsiTheme="minorHAnsi" w:cstheme="minorHAnsi"/>
          <w:i/>
        </w:rPr>
        <w:t>La información está organizada aunque no se ajusta al patrón definido por la LTAIBG</w:t>
      </w:r>
      <w:r w:rsidRPr="00563923">
        <w:rPr>
          <w:rFonts w:asciiTheme="minorHAnsi" w:hAnsiTheme="minorHAnsi" w:cstheme="minorHAnsi"/>
        </w:rPr>
        <w:t>”, se encuentra vinculado a la estructuración de la publicidad activa según la Ley de Transparencia (segundo criterio de estructuración de la información sujeta a publicidad activa, junto a la estructuración por materias y por Ministerios). Este Consejo valora muy positivamente que se proporcione más de un criterio para localizar la información, pero lo cierto es que la publicidad activa estructurada según la Ley de Transparencia no se ajusta exactamente a los bloques y elementos establecidos en dicha norma; muy especialmente, el bloque destinado a la</w:t>
      </w:r>
      <w:r w:rsidR="004D246C">
        <w:rPr>
          <w:rFonts w:asciiTheme="minorHAnsi" w:hAnsiTheme="minorHAnsi" w:cstheme="minorHAnsi"/>
        </w:rPr>
        <w:t xml:space="preserve"> </w:t>
      </w:r>
      <w:r w:rsidRPr="00563923">
        <w:rPr>
          <w:rFonts w:asciiTheme="minorHAnsi" w:hAnsiTheme="minorHAnsi" w:cstheme="minorHAnsi"/>
        </w:rPr>
        <w:t>información de relevancia jurídica.</w:t>
      </w:r>
    </w:p>
    <w:p w:rsidR="008C2B46" w:rsidRPr="00563923" w:rsidRDefault="008C2B46" w:rsidP="008C2B46">
      <w:pPr>
        <w:pStyle w:val="Prrafodelista"/>
        <w:spacing w:before="120" w:after="120" w:line="312" w:lineRule="auto"/>
        <w:contextualSpacing w:val="0"/>
        <w:jc w:val="both"/>
        <w:rPr>
          <w:rFonts w:asciiTheme="minorHAnsi" w:hAnsiTheme="minorHAnsi" w:cstheme="minorHAnsi"/>
        </w:rPr>
      </w:pPr>
    </w:p>
    <w:p w:rsidR="00210111" w:rsidRPr="008C2B46" w:rsidRDefault="00210111" w:rsidP="00563923">
      <w:pPr>
        <w:tabs>
          <w:tab w:val="left" w:pos="284"/>
        </w:tabs>
        <w:spacing w:before="120" w:after="120" w:line="312" w:lineRule="auto"/>
        <w:jc w:val="both"/>
        <w:rPr>
          <w:rFonts w:asciiTheme="minorHAnsi" w:hAnsiTheme="minorHAnsi" w:cstheme="minorHAnsi"/>
          <w:b/>
          <w:color w:val="00B050"/>
          <w:szCs w:val="24"/>
        </w:rPr>
      </w:pPr>
      <w:r w:rsidRPr="008C2B46">
        <w:rPr>
          <w:rFonts w:asciiTheme="minorHAnsi" w:hAnsiTheme="minorHAnsi" w:cstheme="minorHAnsi"/>
          <w:b/>
          <w:color w:val="00B050"/>
          <w:szCs w:val="24"/>
        </w:rPr>
        <w:t>Información institucional, organizativa y de planificación. Registro de actividades de tratamiento.</w:t>
      </w:r>
    </w:p>
    <w:p w:rsidR="00855ECA" w:rsidRPr="00563923" w:rsidRDefault="00855ECA" w:rsidP="00563923">
      <w:pPr>
        <w:tabs>
          <w:tab w:val="left" w:pos="284"/>
        </w:tabs>
        <w:spacing w:before="120" w:after="120" w:line="312" w:lineRule="auto"/>
        <w:jc w:val="both"/>
        <w:rPr>
          <w:rFonts w:asciiTheme="minorHAnsi" w:hAnsiTheme="minorHAnsi" w:cstheme="minorHAnsi"/>
          <w:sz w:val="22"/>
        </w:rPr>
      </w:pPr>
    </w:p>
    <w:p w:rsidR="00B5520E" w:rsidRPr="00563923" w:rsidRDefault="00816D4F" w:rsidP="00563923">
      <w:pPr>
        <w:pStyle w:val="Prrafodelista"/>
        <w:numPr>
          <w:ilvl w:val="0"/>
          <w:numId w:val="16"/>
        </w:numPr>
        <w:tabs>
          <w:tab w:val="left" w:pos="284"/>
        </w:tabs>
        <w:spacing w:before="120" w:after="120" w:line="312" w:lineRule="auto"/>
        <w:contextualSpacing w:val="0"/>
        <w:jc w:val="both"/>
        <w:rPr>
          <w:rFonts w:asciiTheme="minorHAnsi" w:hAnsiTheme="minorHAnsi" w:cstheme="minorHAnsi"/>
        </w:rPr>
      </w:pPr>
      <w:r w:rsidRPr="00563923">
        <w:rPr>
          <w:rFonts w:asciiTheme="minorHAnsi" w:hAnsiTheme="minorHAnsi" w:cstheme="minorHAnsi"/>
          <w:b/>
        </w:rPr>
        <w:t>Se acepta la observación</w:t>
      </w:r>
      <w:r w:rsidRPr="00563923">
        <w:rPr>
          <w:rFonts w:asciiTheme="minorHAnsi" w:hAnsiTheme="minorHAnsi" w:cstheme="minorHAnsi"/>
        </w:rPr>
        <w:t xml:space="preserve"> relativa a</w:t>
      </w:r>
      <w:r w:rsidR="00B5520E" w:rsidRPr="00563923">
        <w:rPr>
          <w:rFonts w:asciiTheme="minorHAnsi" w:hAnsiTheme="minorHAnsi" w:cstheme="minorHAnsi"/>
        </w:rPr>
        <w:t>l cambio de denominación del elemento de inf</w:t>
      </w:r>
      <w:r w:rsidR="00BC5ADA">
        <w:rPr>
          <w:rFonts w:asciiTheme="minorHAnsi" w:hAnsiTheme="minorHAnsi" w:cstheme="minorHAnsi"/>
        </w:rPr>
        <w:t>ormación “Estructura”, que pasa</w:t>
      </w:r>
      <w:r w:rsidR="00B5520E" w:rsidRPr="00563923">
        <w:rPr>
          <w:rFonts w:asciiTheme="minorHAnsi" w:hAnsiTheme="minorHAnsi" w:cstheme="minorHAnsi"/>
        </w:rPr>
        <w:t xml:space="preserve"> a</w:t>
      </w:r>
      <w:r w:rsidR="004D246C">
        <w:rPr>
          <w:rFonts w:asciiTheme="minorHAnsi" w:hAnsiTheme="minorHAnsi" w:cstheme="minorHAnsi"/>
        </w:rPr>
        <w:t xml:space="preserve"> </w:t>
      </w:r>
      <w:r w:rsidR="00B5520E" w:rsidRPr="00563923">
        <w:rPr>
          <w:rFonts w:asciiTheme="minorHAnsi" w:hAnsiTheme="minorHAnsi" w:cstheme="minorHAnsi"/>
        </w:rPr>
        <w:t>denominarse “Estructura y organigramas”</w:t>
      </w:r>
      <w:r w:rsidR="00B065F8" w:rsidRPr="00563923">
        <w:rPr>
          <w:rFonts w:asciiTheme="minorHAnsi" w:hAnsiTheme="minorHAnsi" w:cstheme="minorHAnsi"/>
        </w:rPr>
        <w:t>, y se tiene en cuenta</w:t>
      </w:r>
      <w:r w:rsidR="00B5520E" w:rsidRPr="00563923">
        <w:rPr>
          <w:rFonts w:asciiTheme="minorHAnsi" w:hAnsiTheme="minorHAnsi" w:cstheme="minorHAnsi"/>
        </w:rPr>
        <w:t>.</w:t>
      </w:r>
    </w:p>
    <w:p w:rsidR="00B5520E" w:rsidRPr="00563923" w:rsidRDefault="00B5520E" w:rsidP="00563923">
      <w:pPr>
        <w:pStyle w:val="Prrafodelista"/>
        <w:numPr>
          <w:ilvl w:val="0"/>
          <w:numId w:val="16"/>
        </w:numPr>
        <w:tabs>
          <w:tab w:val="left" w:pos="284"/>
        </w:tabs>
        <w:spacing w:before="120" w:after="120" w:line="312" w:lineRule="auto"/>
        <w:contextualSpacing w:val="0"/>
        <w:jc w:val="both"/>
        <w:rPr>
          <w:rFonts w:asciiTheme="minorHAnsi" w:hAnsiTheme="minorHAnsi" w:cstheme="minorHAnsi"/>
        </w:rPr>
      </w:pPr>
      <w:r w:rsidRPr="00563923">
        <w:rPr>
          <w:rFonts w:asciiTheme="minorHAnsi" w:hAnsiTheme="minorHAnsi" w:cstheme="minorHAnsi"/>
          <w:b/>
        </w:rPr>
        <w:t xml:space="preserve">Se acepta la observación relativa a lo dispuesto en </w:t>
      </w:r>
      <w:r w:rsidR="00B065F8" w:rsidRPr="00563923">
        <w:rPr>
          <w:rFonts w:asciiTheme="minorHAnsi" w:hAnsiTheme="minorHAnsi" w:cstheme="minorHAnsi"/>
          <w:b/>
        </w:rPr>
        <w:t>el</w:t>
      </w:r>
      <w:r w:rsidRPr="00563923">
        <w:rPr>
          <w:rFonts w:asciiTheme="minorHAnsi" w:hAnsiTheme="minorHAnsi" w:cstheme="minorHAnsi"/>
          <w:b/>
        </w:rPr>
        <w:t xml:space="preserve"> artículo 10.2 de la LTAIBG </w:t>
      </w:r>
      <w:r w:rsidRPr="00563923">
        <w:rPr>
          <w:rFonts w:asciiTheme="minorHAnsi" w:hAnsiTheme="minorHAnsi" w:cstheme="minorHAnsi"/>
        </w:rPr>
        <w:t>y se suprime cualquier referencia a la falta de publicación de información cuyo acceso se solicite con mayor frecuencia, estando a lo que se determine reglamentariamente.</w:t>
      </w:r>
    </w:p>
    <w:p w:rsidR="00B5520E" w:rsidRPr="00563923" w:rsidRDefault="00B5520E" w:rsidP="00563923">
      <w:pPr>
        <w:pStyle w:val="Prrafodelista"/>
        <w:numPr>
          <w:ilvl w:val="0"/>
          <w:numId w:val="16"/>
        </w:numPr>
        <w:tabs>
          <w:tab w:val="left" w:pos="284"/>
        </w:tabs>
        <w:spacing w:before="120" w:after="120" w:line="312" w:lineRule="auto"/>
        <w:contextualSpacing w:val="0"/>
        <w:jc w:val="both"/>
        <w:rPr>
          <w:rFonts w:asciiTheme="minorHAnsi" w:hAnsiTheme="minorHAnsi" w:cstheme="minorHAnsi"/>
        </w:rPr>
      </w:pPr>
      <w:r w:rsidRPr="00563923">
        <w:rPr>
          <w:rFonts w:asciiTheme="minorHAnsi" w:hAnsiTheme="minorHAnsi" w:cstheme="minorHAnsi"/>
        </w:rPr>
        <w:lastRenderedPageBreak/>
        <w:t xml:space="preserve">Errores en los enlaces a los </w:t>
      </w:r>
      <w:r w:rsidRPr="00563923">
        <w:rPr>
          <w:rFonts w:asciiTheme="minorHAnsi" w:hAnsiTheme="minorHAnsi" w:cstheme="minorHAnsi"/>
          <w:b/>
        </w:rPr>
        <w:t>Registros de Actividades de Tratamiento</w:t>
      </w:r>
      <w:r w:rsidR="00665BA1" w:rsidRPr="00563923">
        <w:rPr>
          <w:rFonts w:asciiTheme="minorHAnsi" w:hAnsiTheme="minorHAnsi" w:cstheme="minorHAnsi"/>
        </w:rPr>
        <w:t>.</w:t>
      </w:r>
      <w:r w:rsidRPr="00563923">
        <w:rPr>
          <w:rFonts w:asciiTheme="minorHAnsi" w:hAnsiTheme="minorHAnsi" w:cstheme="minorHAnsi"/>
        </w:rPr>
        <w:t xml:space="preserve"> </w:t>
      </w:r>
      <w:r w:rsidR="00B065F8" w:rsidRPr="00563923">
        <w:rPr>
          <w:rFonts w:asciiTheme="minorHAnsi" w:hAnsiTheme="minorHAnsi" w:cstheme="minorHAnsi"/>
        </w:rPr>
        <w:t>S</w:t>
      </w:r>
      <w:r w:rsidRPr="00563923">
        <w:rPr>
          <w:rFonts w:asciiTheme="minorHAnsi" w:hAnsiTheme="minorHAnsi" w:cstheme="minorHAnsi"/>
        </w:rPr>
        <w:t>e ha</w:t>
      </w:r>
      <w:r w:rsidR="00BC5ADA">
        <w:rPr>
          <w:rFonts w:asciiTheme="minorHAnsi" w:hAnsiTheme="minorHAnsi" w:cstheme="minorHAnsi"/>
        </w:rPr>
        <w:t>n</w:t>
      </w:r>
      <w:r w:rsidRPr="00563923">
        <w:rPr>
          <w:rFonts w:asciiTheme="minorHAnsi" w:hAnsiTheme="minorHAnsi" w:cstheme="minorHAnsi"/>
        </w:rPr>
        <w:t xml:space="preserve"> revisado los enlaces que no funcionaban</w:t>
      </w:r>
      <w:r w:rsidR="00862FB0" w:rsidRPr="00563923">
        <w:rPr>
          <w:rFonts w:asciiTheme="minorHAnsi" w:hAnsiTheme="minorHAnsi" w:cstheme="minorHAnsi"/>
        </w:rPr>
        <w:t xml:space="preserve">: </w:t>
      </w:r>
      <w:r w:rsidRPr="00563923">
        <w:rPr>
          <w:rFonts w:asciiTheme="minorHAnsi" w:hAnsiTheme="minorHAnsi" w:cstheme="minorHAnsi"/>
        </w:rPr>
        <w:t xml:space="preserve">Ministerio de Justicia, Ministerio de Igualdad, Ministerio de Asuntos Económicos y Transformación Digital, Ministerio de Universidades, Ministerio de Trabajo y Economía Social. Se acepta y se suprime las observaciones relativas a estos ministerios del informe definitivo. </w:t>
      </w:r>
      <w:r w:rsidR="00B2640A" w:rsidRPr="00563923">
        <w:rPr>
          <w:rFonts w:asciiTheme="minorHAnsi" w:hAnsiTheme="minorHAnsi" w:cstheme="minorHAnsi"/>
        </w:rPr>
        <w:t>No obstante, s</w:t>
      </w:r>
      <w:r w:rsidRPr="00563923">
        <w:rPr>
          <w:rFonts w:asciiTheme="minorHAnsi" w:hAnsiTheme="minorHAnsi" w:cstheme="minorHAnsi"/>
        </w:rPr>
        <w:t>igue</w:t>
      </w:r>
      <w:r w:rsidR="00B2640A" w:rsidRPr="00563923">
        <w:rPr>
          <w:rFonts w:asciiTheme="minorHAnsi" w:hAnsiTheme="minorHAnsi" w:cstheme="minorHAnsi"/>
        </w:rPr>
        <w:t xml:space="preserve"> pendiente de publicación</w:t>
      </w:r>
      <w:r w:rsidRPr="00563923">
        <w:rPr>
          <w:rFonts w:asciiTheme="minorHAnsi" w:hAnsiTheme="minorHAnsi" w:cstheme="minorHAnsi"/>
        </w:rPr>
        <w:t xml:space="preserve"> el RAT del Ministerio de Asuntos Exteriores, </w:t>
      </w:r>
      <w:r w:rsidR="00B2640A" w:rsidRPr="00563923">
        <w:rPr>
          <w:rFonts w:asciiTheme="minorHAnsi" w:hAnsiTheme="minorHAnsi" w:cstheme="minorHAnsi"/>
        </w:rPr>
        <w:t xml:space="preserve">Unión Europea y Cooperación </w:t>
      </w:r>
      <w:r w:rsidRPr="00563923">
        <w:rPr>
          <w:rFonts w:asciiTheme="minorHAnsi" w:hAnsiTheme="minorHAnsi" w:cstheme="minorHAnsi"/>
        </w:rPr>
        <w:t>que informa del RAT de la A</w:t>
      </w:r>
      <w:r w:rsidR="00B2640A" w:rsidRPr="00563923">
        <w:rPr>
          <w:rFonts w:asciiTheme="minorHAnsi" w:hAnsiTheme="minorHAnsi" w:cstheme="minorHAnsi"/>
        </w:rPr>
        <w:t>gencia Española de Cooperación Internacional para el Desarrollo (AECID)</w:t>
      </w:r>
      <w:r w:rsidR="00862FB0" w:rsidRPr="00563923">
        <w:rPr>
          <w:rFonts w:asciiTheme="minorHAnsi" w:hAnsiTheme="minorHAnsi" w:cstheme="minorHAnsi"/>
        </w:rPr>
        <w:t>.</w:t>
      </w:r>
    </w:p>
    <w:p w:rsidR="00B2640A" w:rsidRPr="00563923" w:rsidRDefault="00665BA1" w:rsidP="00563923">
      <w:pPr>
        <w:pStyle w:val="Prrafodelista"/>
        <w:numPr>
          <w:ilvl w:val="0"/>
          <w:numId w:val="16"/>
        </w:numPr>
        <w:tabs>
          <w:tab w:val="left" w:pos="284"/>
        </w:tabs>
        <w:spacing w:before="120" w:after="120" w:line="312" w:lineRule="auto"/>
        <w:contextualSpacing w:val="0"/>
        <w:jc w:val="both"/>
        <w:rPr>
          <w:rFonts w:asciiTheme="minorHAnsi" w:hAnsiTheme="minorHAnsi"/>
        </w:rPr>
      </w:pPr>
      <w:r w:rsidRPr="00563923">
        <w:rPr>
          <w:rFonts w:asciiTheme="minorHAnsi" w:hAnsiTheme="minorHAnsi" w:cstheme="minorHAnsi"/>
          <w:b/>
        </w:rPr>
        <w:t xml:space="preserve">Identificación de responsables: </w:t>
      </w:r>
      <w:r w:rsidRPr="00563923">
        <w:rPr>
          <w:rFonts w:asciiTheme="minorHAnsi" w:hAnsiTheme="minorHAnsi" w:cstheme="minorHAnsi"/>
        </w:rPr>
        <w:t>s</w:t>
      </w:r>
      <w:r w:rsidRPr="00563923">
        <w:rPr>
          <w:rFonts w:asciiTheme="minorHAnsi" w:hAnsiTheme="minorHAnsi" w:cstheme="minorHAnsi"/>
          <w:bCs/>
        </w:rPr>
        <w:t xml:space="preserve">e procede a la revisión del informe y se suprimen aquellos Ministerios que completan la identificación de sus </w:t>
      </w:r>
      <w:r w:rsidR="00B2640A" w:rsidRPr="00563923">
        <w:rPr>
          <w:rFonts w:asciiTheme="minorHAnsi" w:hAnsiTheme="minorHAnsi" w:cstheme="minorHAnsi"/>
          <w:bCs/>
        </w:rPr>
        <w:t>“</w:t>
      </w:r>
      <w:r w:rsidRPr="00563923">
        <w:rPr>
          <w:rFonts w:asciiTheme="minorHAnsi" w:hAnsiTheme="minorHAnsi" w:cstheme="minorHAnsi"/>
          <w:bCs/>
        </w:rPr>
        <w:t>responsables</w:t>
      </w:r>
      <w:r w:rsidR="00B2640A" w:rsidRPr="00563923">
        <w:rPr>
          <w:rFonts w:asciiTheme="minorHAnsi" w:hAnsiTheme="minorHAnsi" w:cstheme="minorHAnsi"/>
          <w:bCs/>
        </w:rPr>
        <w:t>”</w:t>
      </w:r>
      <w:r w:rsidRPr="00563923">
        <w:rPr>
          <w:rFonts w:asciiTheme="minorHAnsi" w:hAnsiTheme="minorHAnsi" w:cstheme="minorHAnsi"/>
          <w:bCs/>
        </w:rPr>
        <w:t>: Ministerio de Asuntos Económicos y Transformación Digital,</w:t>
      </w:r>
      <w:r w:rsidRPr="00563923">
        <w:rPr>
          <w:rFonts w:asciiTheme="minorHAnsi" w:hAnsiTheme="minorHAnsi" w:cstheme="minorHAnsi"/>
          <w:b/>
          <w:bCs/>
        </w:rPr>
        <w:t xml:space="preserve"> </w:t>
      </w:r>
      <w:r w:rsidRPr="00563923">
        <w:rPr>
          <w:rFonts w:asciiTheme="minorHAnsi" w:hAnsiTheme="minorHAnsi" w:cstheme="minorHAnsi"/>
          <w:bCs/>
        </w:rPr>
        <w:t>Ministerio de Cultura y Deporte,</w:t>
      </w:r>
      <w:r w:rsidRPr="00563923">
        <w:rPr>
          <w:rFonts w:asciiTheme="minorHAnsi" w:hAnsiTheme="minorHAnsi" w:cstheme="minorHAnsi"/>
          <w:b/>
          <w:bCs/>
        </w:rPr>
        <w:t xml:space="preserve"> </w:t>
      </w:r>
      <w:r w:rsidRPr="00563923">
        <w:rPr>
          <w:rFonts w:asciiTheme="minorHAnsi" w:hAnsiTheme="minorHAnsi" w:cstheme="minorHAnsi"/>
          <w:bCs/>
        </w:rPr>
        <w:t>Ministerio de Defensa,</w:t>
      </w:r>
      <w:r w:rsidRPr="00563923">
        <w:rPr>
          <w:rFonts w:asciiTheme="minorHAnsi" w:hAnsiTheme="minorHAnsi" w:cstheme="minorHAnsi"/>
        </w:rPr>
        <w:t xml:space="preserve"> </w:t>
      </w:r>
      <w:r w:rsidRPr="00563923">
        <w:rPr>
          <w:rFonts w:asciiTheme="minorHAnsi" w:hAnsiTheme="minorHAnsi" w:cstheme="minorHAnsi"/>
          <w:bCs/>
        </w:rPr>
        <w:t>Ministerio de Hacienda y</w:t>
      </w:r>
      <w:r w:rsidRPr="00563923">
        <w:rPr>
          <w:rFonts w:asciiTheme="minorHAnsi" w:hAnsiTheme="minorHAnsi" w:cstheme="minorHAnsi"/>
        </w:rPr>
        <w:t xml:space="preserve"> </w:t>
      </w:r>
      <w:r w:rsidRPr="00563923">
        <w:rPr>
          <w:rFonts w:asciiTheme="minorHAnsi" w:hAnsiTheme="minorHAnsi" w:cstheme="minorHAnsi"/>
          <w:bCs/>
        </w:rPr>
        <w:t xml:space="preserve">Ministerio de Igualdad. Aun así, quedan sin identificar </w:t>
      </w:r>
      <w:r w:rsidR="00B2640A" w:rsidRPr="00563923">
        <w:rPr>
          <w:rFonts w:asciiTheme="minorHAnsi" w:hAnsiTheme="minorHAnsi" w:cstheme="minorHAnsi"/>
          <w:bCs/>
        </w:rPr>
        <w:t>algunas</w:t>
      </w:r>
      <w:r w:rsidRPr="00563923">
        <w:rPr>
          <w:rFonts w:asciiTheme="minorHAnsi" w:hAnsiTheme="minorHAnsi" w:cstheme="minorHAnsi"/>
          <w:bCs/>
        </w:rPr>
        <w:t xml:space="preserve"> </w:t>
      </w:r>
      <w:r w:rsidR="00B2640A" w:rsidRPr="00563923">
        <w:rPr>
          <w:rFonts w:asciiTheme="minorHAnsi" w:hAnsiTheme="minorHAnsi" w:cstheme="minorHAnsi"/>
          <w:bCs/>
        </w:rPr>
        <w:t xml:space="preserve">personas </w:t>
      </w:r>
      <w:r w:rsidRPr="00563923">
        <w:rPr>
          <w:rFonts w:asciiTheme="minorHAnsi" w:hAnsiTheme="minorHAnsi" w:cstheme="minorHAnsi"/>
          <w:bCs/>
        </w:rPr>
        <w:t xml:space="preserve">responsables. </w:t>
      </w:r>
    </w:p>
    <w:p w:rsidR="00B2640A" w:rsidRPr="00563923" w:rsidRDefault="00665BA1" w:rsidP="008C2B46">
      <w:pPr>
        <w:tabs>
          <w:tab w:val="left" w:pos="284"/>
        </w:tabs>
        <w:spacing w:before="120" w:after="120" w:line="312" w:lineRule="auto"/>
        <w:ind w:left="709"/>
        <w:jc w:val="both"/>
        <w:rPr>
          <w:rFonts w:asciiTheme="minorHAnsi" w:hAnsiTheme="minorHAnsi"/>
          <w:sz w:val="22"/>
        </w:rPr>
      </w:pPr>
      <w:r w:rsidRPr="00563923">
        <w:rPr>
          <w:rFonts w:asciiTheme="minorHAnsi" w:hAnsiTheme="minorHAnsi" w:cstheme="minorHAnsi"/>
          <w:bCs/>
          <w:sz w:val="22"/>
        </w:rPr>
        <w:t>En cuanto a las personas titulares de las Delegaciones de Gobierno, el hecho de que carezcan de organigrama no suple la obligación de su identificación.</w:t>
      </w:r>
      <w:r w:rsidR="00B2640A" w:rsidRPr="00563923">
        <w:rPr>
          <w:rFonts w:asciiTheme="minorHAnsi" w:hAnsiTheme="minorHAnsi" w:cstheme="minorHAnsi"/>
          <w:bCs/>
          <w:sz w:val="22"/>
        </w:rPr>
        <w:t xml:space="preserve"> Los ciudadanos no tienen por qué conocer esta circunstancia, como tampoco saber que sí se localizan en el apartado “Curriculums” junto con las personas titulares de las embajadas y representantes de organizaciones internacionales. </w:t>
      </w:r>
    </w:p>
    <w:p w:rsidR="00665BA1" w:rsidRPr="00563923" w:rsidRDefault="00665BA1" w:rsidP="00563923">
      <w:pPr>
        <w:pStyle w:val="Prrafodelista"/>
        <w:numPr>
          <w:ilvl w:val="0"/>
          <w:numId w:val="16"/>
        </w:numPr>
        <w:tabs>
          <w:tab w:val="left" w:pos="284"/>
        </w:tabs>
        <w:spacing w:before="120" w:after="120" w:line="312" w:lineRule="auto"/>
        <w:contextualSpacing w:val="0"/>
        <w:jc w:val="both"/>
        <w:rPr>
          <w:rFonts w:asciiTheme="minorHAnsi" w:hAnsiTheme="minorHAnsi"/>
        </w:rPr>
      </w:pPr>
      <w:r w:rsidRPr="00563923">
        <w:rPr>
          <w:rFonts w:asciiTheme="minorHAnsi" w:hAnsiTheme="minorHAnsi" w:cstheme="minorHAnsi"/>
          <w:b/>
        </w:rPr>
        <w:t>Planes y programas</w:t>
      </w:r>
      <w:r w:rsidRPr="00563923">
        <w:rPr>
          <w:rFonts w:asciiTheme="minorHAnsi" w:hAnsiTheme="minorHAnsi" w:cstheme="minorHAnsi"/>
        </w:rPr>
        <w:t>: se ha procedido a revisar este elemento informativo, con actualización del mismo</w:t>
      </w:r>
      <w:r w:rsidR="00B2640A" w:rsidRPr="00563923">
        <w:rPr>
          <w:rFonts w:asciiTheme="minorHAnsi" w:hAnsiTheme="minorHAnsi" w:cstheme="minorHAnsi"/>
        </w:rPr>
        <w:t xml:space="preserve"> que ha pasado de</w:t>
      </w:r>
      <w:r w:rsidR="004D246C">
        <w:rPr>
          <w:rFonts w:asciiTheme="minorHAnsi" w:hAnsiTheme="minorHAnsi" w:cstheme="minorHAnsi"/>
        </w:rPr>
        <w:t xml:space="preserve"> </w:t>
      </w:r>
      <w:r w:rsidRPr="00563923">
        <w:rPr>
          <w:rFonts w:asciiTheme="minorHAnsi" w:hAnsiTheme="minorHAnsi" w:cstheme="minorHAnsi"/>
        </w:rPr>
        <w:t>216 a 90 documentos publicados. No obstante, y pese</w:t>
      </w:r>
      <w:r w:rsidR="004D246C">
        <w:rPr>
          <w:rFonts w:asciiTheme="minorHAnsi" w:hAnsiTheme="minorHAnsi" w:cstheme="minorHAnsi"/>
        </w:rPr>
        <w:t xml:space="preserve"> </w:t>
      </w:r>
      <w:r w:rsidRPr="00563923">
        <w:rPr>
          <w:rFonts w:asciiTheme="minorHAnsi" w:hAnsiTheme="minorHAnsi"/>
        </w:rPr>
        <w:t xml:space="preserve">a la revisión y depuración </w:t>
      </w:r>
      <w:r w:rsidR="00B2640A" w:rsidRPr="00563923">
        <w:rPr>
          <w:rFonts w:asciiTheme="minorHAnsi" w:hAnsiTheme="minorHAnsi"/>
        </w:rPr>
        <w:t xml:space="preserve">que se aprecia de la información contenida en </w:t>
      </w:r>
      <w:r w:rsidRPr="00563923">
        <w:rPr>
          <w:rFonts w:asciiTheme="minorHAnsi" w:hAnsiTheme="minorHAnsi"/>
        </w:rPr>
        <w:t>este apartado, se mantienen algunas de las observaciones del informe provisional.</w:t>
      </w:r>
    </w:p>
    <w:p w:rsidR="00665BA1" w:rsidRPr="00563923" w:rsidRDefault="00665BA1" w:rsidP="00563923">
      <w:pPr>
        <w:pStyle w:val="Prrafodelista"/>
        <w:numPr>
          <w:ilvl w:val="0"/>
          <w:numId w:val="14"/>
        </w:numPr>
        <w:spacing w:before="120" w:after="120" w:line="312" w:lineRule="auto"/>
        <w:contextualSpacing w:val="0"/>
        <w:jc w:val="both"/>
        <w:rPr>
          <w:rFonts w:asciiTheme="minorHAnsi" w:hAnsiTheme="minorHAnsi" w:cstheme="minorHAnsi"/>
        </w:rPr>
      </w:pPr>
      <w:r w:rsidRPr="00563923">
        <w:rPr>
          <w:rFonts w:asciiTheme="minorHAnsi" w:hAnsiTheme="minorHAnsi" w:cstheme="minorHAnsi"/>
        </w:rPr>
        <w:t>No todos los ministerios tienen planes.</w:t>
      </w:r>
    </w:p>
    <w:p w:rsidR="00665BA1" w:rsidRPr="00563923" w:rsidRDefault="00665BA1" w:rsidP="00563923">
      <w:pPr>
        <w:pStyle w:val="Prrafodelista"/>
        <w:numPr>
          <w:ilvl w:val="0"/>
          <w:numId w:val="14"/>
        </w:numPr>
        <w:spacing w:before="120" w:after="120" w:line="312" w:lineRule="auto"/>
        <w:contextualSpacing w:val="0"/>
        <w:jc w:val="both"/>
        <w:rPr>
          <w:rFonts w:asciiTheme="minorHAnsi" w:hAnsiTheme="minorHAnsi" w:cstheme="minorHAnsi"/>
        </w:rPr>
      </w:pPr>
      <w:r w:rsidRPr="00563923">
        <w:rPr>
          <w:rFonts w:asciiTheme="minorHAnsi" w:hAnsiTheme="minorHAnsi" w:cstheme="minorHAnsi"/>
        </w:rPr>
        <w:t>No todos están vigentes</w:t>
      </w:r>
    </w:p>
    <w:p w:rsidR="00665BA1" w:rsidRPr="00563923" w:rsidRDefault="00665BA1" w:rsidP="00563923">
      <w:pPr>
        <w:pStyle w:val="Prrafodelista"/>
        <w:numPr>
          <w:ilvl w:val="0"/>
          <w:numId w:val="14"/>
        </w:numPr>
        <w:spacing w:before="120" w:after="120" w:line="312" w:lineRule="auto"/>
        <w:contextualSpacing w:val="0"/>
        <w:jc w:val="both"/>
        <w:rPr>
          <w:rFonts w:asciiTheme="minorHAnsi" w:hAnsiTheme="minorHAnsi" w:cstheme="minorHAnsi"/>
        </w:rPr>
      </w:pPr>
      <w:r w:rsidRPr="00563923">
        <w:rPr>
          <w:rFonts w:asciiTheme="minorHAnsi" w:hAnsiTheme="minorHAnsi" w:cstheme="minorHAnsi"/>
        </w:rPr>
        <w:t xml:space="preserve"> Planes de organismos públicos dependientes o vinculados </w:t>
      </w:r>
    </w:p>
    <w:p w:rsidR="00665BA1" w:rsidRPr="00563923" w:rsidRDefault="00210111" w:rsidP="00563923">
      <w:pPr>
        <w:spacing w:before="120" w:after="120" w:line="312" w:lineRule="auto"/>
        <w:jc w:val="both"/>
        <w:rPr>
          <w:rFonts w:asciiTheme="minorHAnsi" w:hAnsiTheme="minorHAnsi" w:cstheme="minorHAnsi"/>
          <w:sz w:val="22"/>
        </w:rPr>
      </w:pPr>
      <w:r w:rsidRPr="00563923">
        <w:rPr>
          <w:rFonts w:asciiTheme="minorHAnsi" w:hAnsiTheme="minorHAnsi" w:cstheme="minorHAnsi"/>
          <w:sz w:val="22"/>
        </w:rPr>
        <w:t xml:space="preserve">Por otra parte, se ha detectado la supresión de </w:t>
      </w:r>
      <w:r w:rsidR="00665BA1" w:rsidRPr="00563923">
        <w:rPr>
          <w:rFonts w:asciiTheme="minorHAnsi" w:hAnsiTheme="minorHAnsi" w:cstheme="minorHAnsi"/>
          <w:sz w:val="22"/>
        </w:rPr>
        <w:t>planes correctamente publicados en este</w:t>
      </w:r>
      <w:r w:rsidR="004D246C">
        <w:rPr>
          <w:rFonts w:asciiTheme="minorHAnsi" w:hAnsiTheme="minorHAnsi" w:cstheme="minorHAnsi"/>
          <w:sz w:val="22"/>
        </w:rPr>
        <w:t xml:space="preserve"> </w:t>
      </w:r>
      <w:r w:rsidR="00665BA1" w:rsidRPr="00563923">
        <w:rPr>
          <w:rFonts w:asciiTheme="minorHAnsi" w:hAnsiTheme="minorHAnsi" w:cstheme="minorHAnsi"/>
          <w:sz w:val="22"/>
        </w:rPr>
        <w:t>apartado</w:t>
      </w:r>
      <w:r w:rsidR="00B2640A" w:rsidRPr="00563923">
        <w:rPr>
          <w:rFonts w:asciiTheme="minorHAnsi" w:hAnsiTheme="minorHAnsi" w:cstheme="minorHAnsi"/>
          <w:sz w:val="22"/>
        </w:rPr>
        <w:t xml:space="preserve"> </w:t>
      </w:r>
      <w:r w:rsidR="00BC5ADA">
        <w:rPr>
          <w:rFonts w:asciiTheme="minorHAnsi" w:hAnsiTheme="minorHAnsi" w:cstheme="minorHAnsi"/>
          <w:sz w:val="22"/>
        </w:rPr>
        <w:t xml:space="preserve">en el </w:t>
      </w:r>
      <w:r w:rsidR="00B2640A" w:rsidRPr="00563923">
        <w:rPr>
          <w:rFonts w:asciiTheme="minorHAnsi" w:hAnsiTheme="minorHAnsi" w:cstheme="minorHAnsi"/>
          <w:sz w:val="22"/>
        </w:rPr>
        <w:t xml:space="preserve">momento de la elaboración de informe provisional. </w:t>
      </w:r>
    </w:p>
    <w:p w:rsidR="001C214A" w:rsidRPr="00563923" w:rsidRDefault="00210111" w:rsidP="00563923">
      <w:pPr>
        <w:pStyle w:val="Textocomentario"/>
        <w:spacing w:before="120" w:after="120" w:line="312" w:lineRule="auto"/>
        <w:rPr>
          <w:rFonts w:eastAsiaTheme="minorHAnsi" w:cstheme="minorHAnsi"/>
          <w:sz w:val="22"/>
          <w:szCs w:val="22"/>
          <w:lang w:eastAsia="en-US"/>
        </w:rPr>
      </w:pPr>
      <w:r w:rsidRPr="00563923">
        <w:rPr>
          <w:rFonts w:eastAsiaTheme="minorHAnsi" w:cstheme="minorHAnsi"/>
          <w:sz w:val="22"/>
          <w:szCs w:val="22"/>
          <w:lang w:eastAsia="en-US"/>
        </w:rPr>
        <w:t>Teniendo en cuenta cuanto antecede,</w:t>
      </w:r>
      <w:r w:rsidR="00665BA1" w:rsidRPr="00563923">
        <w:rPr>
          <w:rFonts w:eastAsiaTheme="minorHAnsi" w:cstheme="minorHAnsi"/>
          <w:sz w:val="22"/>
          <w:szCs w:val="22"/>
          <w:lang w:eastAsia="en-US"/>
        </w:rPr>
        <w:t xml:space="preserve"> </w:t>
      </w:r>
      <w:r w:rsidR="00B2640A" w:rsidRPr="00563923">
        <w:rPr>
          <w:rFonts w:eastAsiaTheme="minorHAnsi" w:cstheme="minorHAnsi"/>
          <w:sz w:val="22"/>
          <w:szCs w:val="22"/>
          <w:lang w:eastAsia="en-US"/>
        </w:rPr>
        <w:t xml:space="preserve">sigue sin resultar posible </w:t>
      </w:r>
      <w:r w:rsidR="00665BA1" w:rsidRPr="00563923">
        <w:rPr>
          <w:rFonts w:eastAsiaTheme="minorHAnsi" w:cstheme="minorHAnsi"/>
          <w:sz w:val="22"/>
          <w:szCs w:val="22"/>
          <w:lang w:eastAsia="en-US"/>
        </w:rPr>
        <w:t>valorar y dar por cumplido este elemento informativo</w:t>
      </w:r>
      <w:r w:rsidR="001C214A" w:rsidRPr="00563923">
        <w:rPr>
          <w:rFonts w:eastAsiaTheme="minorHAnsi" w:cstheme="minorHAnsi"/>
          <w:sz w:val="22"/>
          <w:szCs w:val="22"/>
          <w:lang w:eastAsia="en-US"/>
        </w:rPr>
        <w:t xml:space="preserve"> referido a planes y programas.</w:t>
      </w:r>
    </w:p>
    <w:p w:rsidR="00B2640A" w:rsidRPr="00563923" w:rsidRDefault="00B2640A" w:rsidP="00563923">
      <w:pPr>
        <w:pStyle w:val="Textocomentario"/>
        <w:spacing w:before="120" w:after="120" w:line="312" w:lineRule="auto"/>
        <w:rPr>
          <w:rFonts w:eastAsiaTheme="minorHAnsi" w:cstheme="minorHAnsi"/>
          <w:sz w:val="22"/>
          <w:szCs w:val="22"/>
          <w:lang w:eastAsia="en-US"/>
        </w:rPr>
      </w:pPr>
    </w:p>
    <w:p w:rsidR="001C214A" w:rsidRPr="00563923" w:rsidRDefault="00B2640A" w:rsidP="00563923">
      <w:pPr>
        <w:pStyle w:val="Textocomentario"/>
        <w:spacing w:before="120" w:after="120" w:line="312" w:lineRule="auto"/>
        <w:rPr>
          <w:rFonts w:eastAsiaTheme="minorHAnsi" w:cstheme="minorHAnsi"/>
          <w:b/>
          <w:i/>
          <w:sz w:val="22"/>
          <w:szCs w:val="22"/>
          <w:lang w:eastAsia="en-US"/>
        </w:rPr>
      </w:pPr>
      <w:r w:rsidRPr="00563923">
        <w:rPr>
          <w:rFonts w:eastAsiaTheme="minorHAnsi" w:cstheme="minorHAnsi"/>
          <w:sz w:val="22"/>
          <w:szCs w:val="22"/>
          <w:lang w:eastAsia="en-US"/>
        </w:rPr>
        <w:t xml:space="preserve"> </w:t>
      </w:r>
      <w:r w:rsidR="001C214A" w:rsidRPr="00563923">
        <w:rPr>
          <w:rFonts w:eastAsiaTheme="minorHAnsi" w:cstheme="minorHAnsi"/>
          <w:b/>
          <w:i/>
          <w:sz w:val="22"/>
          <w:szCs w:val="22"/>
          <w:lang w:eastAsia="en-US"/>
        </w:rPr>
        <w:t>Este Consejo valora muy positivamente todas las modificaciones y revisiones llevadas a cabo y las que están previstas acometer en este bloque de información institucional, organizativa y de planificación, y no puede más que</w:t>
      </w:r>
      <w:r w:rsidR="00E30C4E" w:rsidRPr="00563923">
        <w:rPr>
          <w:rFonts w:eastAsiaTheme="minorHAnsi" w:cstheme="minorHAnsi"/>
          <w:b/>
          <w:i/>
          <w:sz w:val="22"/>
          <w:szCs w:val="22"/>
          <w:lang w:eastAsia="en-US"/>
        </w:rPr>
        <w:t xml:space="preserve"> reconocer el esfuerzo realizado y la difícil tarea que queda por realizar</w:t>
      </w:r>
      <w:r w:rsidR="001C214A" w:rsidRPr="00563923">
        <w:rPr>
          <w:rFonts w:eastAsiaTheme="minorHAnsi" w:cstheme="minorHAnsi"/>
          <w:b/>
          <w:i/>
          <w:sz w:val="22"/>
          <w:szCs w:val="22"/>
          <w:lang w:eastAsia="en-US"/>
        </w:rPr>
        <w:t>.</w:t>
      </w:r>
    </w:p>
    <w:p w:rsidR="00210111" w:rsidRPr="008C2B46" w:rsidRDefault="00210111" w:rsidP="00563923">
      <w:pPr>
        <w:tabs>
          <w:tab w:val="left" w:pos="284"/>
        </w:tabs>
        <w:spacing w:before="120" w:after="120" w:line="312" w:lineRule="auto"/>
        <w:jc w:val="both"/>
        <w:rPr>
          <w:rFonts w:asciiTheme="minorHAnsi" w:hAnsiTheme="minorHAnsi" w:cstheme="minorHAnsi"/>
          <w:b/>
          <w:color w:val="00B050"/>
          <w:szCs w:val="24"/>
        </w:rPr>
      </w:pPr>
      <w:bookmarkStart w:id="0" w:name="_Toc76058394"/>
      <w:r w:rsidRPr="008C2B46">
        <w:rPr>
          <w:rFonts w:asciiTheme="minorHAnsi" w:hAnsiTheme="minorHAnsi" w:cstheme="minorHAnsi"/>
          <w:b/>
          <w:color w:val="00B050"/>
          <w:szCs w:val="24"/>
        </w:rPr>
        <w:lastRenderedPageBreak/>
        <w:t xml:space="preserve">Información de relevancia jurídica </w:t>
      </w:r>
    </w:p>
    <w:p w:rsidR="00210111" w:rsidRPr="00563923" w:rsidRDefault="00210111" w:rsidP="00563923">
      <w:pPr>
        <w:pStyle w:val="Ttulo3"/>
        <w:spacing w:before="120" w:after="120" w:line="312" w:lineRule="auto"/>
        <w:rPr>
          <w:rFonts w:asciiTheme="minorHAnsi" w:eastAsiaTheme="minorHAnsi" w:hAnsiTheme="minorHAnsi" w:cstheme="minorHAnsi"/>
          <w:bCs w:val="0"/>
          <w:color w:val="auto"/>
          <w:szCs w:val="24"/>
        </w:rPr>
      </w:pPr>
    </w:p>
    <w:p w:rsidR="004D246C" w:rsidRDefault="000340C6" w:rsidP="007E1F93">
      <w:pPr>
        <w:pStyle w:val="Ttulo3"/>
        <w:spacing w:before="120" w:after="120" w:line="312" w:lineRule="auto"/>
        <w:jc w:val="both"/>
        <w:rPr>
          <w:rFonts w:asciiTheme="minorHAnsi" w:eastAsiaTheme="minorHAnsi" w:hAnsiTheme="minorHAnsi" w:cstheme="minorHAnsi"/>
          <w:b w:val="0"/>
          <w:color w:val="auto"/>
          <w:szCs w:val="24"/>
        </w:rPr>
      </w:pPr>
      <w:r w:rsidRPr="00563923">
        <w:rPr>
          <w:rFonts w:asciiTheme="minorHAnsi" w:eastAsiaTheme="minorHAnsi" w:hAnsiTheme="minorHAnsi" w:cstheme="minorHAnsi"/>
          <w:bCs w:val="0"/>
          <w:color w:val="auto"/>
          <w:szCs w:val="24"/>
        </w:rPr>
        <w:t xml:space="preserve">1º </w:t>
      </w:r>
      <w:r w:rsidR="00665BA1" w:rsidRPr="00563923">
        <w:rPr>
          <w:rFonts w:asciiTheme="minorHAnsi" w:eastAsiaTheme="minorHAnsi" w:hAnsiTheme="minorHAnsi" w:cstheme="minorHAnsi"/>
          <w:bCs w:val="0"/>
          <w:color w:val="auto"/>
          <w:szCs w:val="24"/>
        </w:rPr>
        <w:t>Directrices, instrucciones, acuerdos, circulares o respuestas a consultas</w:t>
      </w:r>
      <w:bookmarkEnd w:id="0"/>
      <w:r w:rsidR="0065796D" w:rsidRPr="00563923">
        <w:rPr>
          <w:rFonts w:asciiTheme="minorHAnsi" w:eastAsiaTheme="minorHAnsi" w:hAnsiTheme="minorHAnsi" w:cstheme="minorHAnsi"/>
          <w:bCs w:val="0"/>
          <w:color w:val="auto"/>
          <w:szCs w:val="24"/>
        </w:rPr>
        <w:t>:</w:t>
      </w:r>
      <w:r w:rsidR="0065796D" w:rsidRPr="00563923">
        <w:rPr>
          <w:rFonts w:asciiTheme="minorHAnsi" w:eastAsiaTheme="minorHAnsi" w:hAnsiTheme="minorHAnsi" w:cstheme="minorHAnsi"/>
          <w:b w:val="0"/>
          <w:bCs w:val="0"/>
          <w:color w:val="auto"/>
          <w:szCs w:val="24"/>
        </w:rPr>
        <w:t xml:space="preserve"> </w:t>
      </w:r>
      <w:r w:rsidR="00563923" w:rsidRPr="00563923">
        <w:rPr>
          <w:rFonts w:asciiTheme="minorHAnsi" w:eastAsiaTheme="minorHAnsi" w:hAnsiTheme="minorHAnsi" w:cstheme="minorHAnsi"/>
          <w:b w:val="0"/>
          <w:bCs w:val="0"/>
          <w:color w:val="auto"/>
          <w:szCs w:val="24"/>
        </w:rPr>
        <w:t>s</w:t>
      </w:r>
      <w:r w:rsidR="00563923" w:rsidRPr="00563923">
        <w:rPr>
          <w:rFonts w:asciiTheme="minorHAnsi" w:eastAsiaTheme="minorHAnsi" w:hAnsiTheme="minorHAnsi" w:cstheme="minorHAnsi"/>
          <w:b w:val="0"/>
          <w:color w:val="auto"/>
          <w:szCs w:val="24"/>
        </w:rPr>
        <w:t>e ha revisado este elemento informativo, pero se mantienen las mismas observaciones efectuadas en el informe provisional. Se valora</w:t>
      </w:r>
      <w:r w:rsidR="007E1F93">
        <w:rPr>
          <w:rFonts w:asciiTheme="minorHAnsi" w:eastAsiaTheme="minorHAnsi" w:hAnsiTheme="minorHAnsi" w:cstheme="minorHAnsi"/>
          <w:b w:val="0"/>
          <w:color w:val="auto"/>
          <w:szCs w:val="24"/>
        </w:rPr>
        <w:t>n</w:t>
      </w:r>
      <w:r w:rsidR="00563923" w:rsidRPr="00563923">
        <w:rPr>
          <w:rFonts w:asciiTheme="minorHAnsi" w:eastAsiaTheme="minorHAnsi" w:hAnsiTheme="minorHAnsi" w:cstheme="minorHAnsi"/>
          <w:b w:val="0"/>
          <w:color w:val="auto"/>
          <w:szCs w:val="24"/>
        </w:rPr>
        <w:t xml:space="preserve"> muy positivamente las modificaciones que se detallan </w:t>
      </w:r>
      <w:r w:rsidR="00BC5ADA">
        <w:rPr>
          <w:rFonts w:asciiTheme="minorHAnsi" w:eastAsiaTheme="minorHAnsi" w:hAnsiTheme="minorHAnsi" w:cstheme="minorHAnsi"/>
          <w:b w:val="0"/>
          <w:color w:val="auto"/>
          <w:szCs w:val="24"/>
        </w:rPr>
        <w:t xml:space="preserve">y que </w:t>
      </w:r>
      <w:r w:rsidR="00563923" w:rsidRPr="00563923">
        <w:rPr>
          <w:rFonts w:asciiTheme="minorHAnsi" w:eastAsiaTheme="minorHAnsi" w:hAnsiTheme="minorHAnsi" w:cstheme="minorHAnsi"/>
          <w:b w:val="0"/>
          <w:color w:val="auto"/>
          <w:szCs w:val="24"/>
        </w:rPr>
        <w:t>se van a introducir en este apartado.</w:t>
      </w:r>
      <w:r w:rsidR="007E1F93">
        <w:rPr>
          <w:rFonts w:asciiTheme="minorHAnsi" w:eastAsiaTheme="minorHAnsi" w:hAnsiTheme="minorHAnsi" w:cstheme="minorHAnsi"/>
          <w:b w:val="0"/>
          <w:color w:val="auto"/>
          <w:szCs w:val="24"/>
        </w:rPr>
        <w:t xml:space="preserve"> Sin embargo, en cuanto a la siguiente propuesta “</w:t>
      </w:r>
      <w:r w:rsidR="007E1F93" w:rsidRPr="007E1F93">
        <w:rPr>
          <w:rFonts w:asciiTheme="minorHAnsi" w:eastAsiaTheme="minorHAnsi" w:hAnsiTheme="minorHAnsi" w:cstheme="minorHAnsi"/>
          <w:b w:val="0"/>
          <w:i/>
          <w:color w:val="auto"/>
          <w:szCs w:val="24"/>
        </w:rPr>
        <w:t>Se incluirá un nuevo elemento de información, dentro de Más transparencia con la denominación de Otras disposiciones en el que se incluirá la información de las órdenes ministeriales y de las resoluciones</w:t>
      </w:r>
      <w:r w:rsidR="007E1F93">
        <w:rPr>
          <w:rFonts w:asciiTheme="minorHAnsi" w:eastAsiaTheme="minorHAnsi" w:hAnsiTheme="minorHAnsi" w:cstheme="minorHAnsi"/>
          <w:b w:val="0"/>
          <w:color w:val="auto"/>
          <w:szCs w:val="24"/>
        </w:rPr>
        <w:t xml:space="preserve">”, este Consejo </w:t>
      </w:r>
      <w:r w:rsidR="004D246C">
        <w:rPr>
          <w:rFonts w:asciiTheme="minorHAnsi" w:eastAsiaTheme="minorHAnsi" w:hAnsiTheme="minorHAnsi" w:cstheme="minorHAnsi"/>
          <w:b w:val="0"/>
          <w:color w:val="auto"/>
          <w:szCs w:val="24"/>
        </w:rPr>
        <w:t>no es, en principio, partidario de esta propuesta puesto que no es información sujeta a public</w:t>
      </w:r>
      <w:r w:rsidR="008C2B46">
        <w:rPr>
          <w:rFonts w:asciiTheme="minorHAnsi" w:eastAsiaTheme="minorHAnsi" w:hAnsiTheme="minorHAnsi" w:cstheme="minorHAnsi"/>
          <w:b w:val="0"/>
          <w:color w:val="auto"/>
          <w:szCs w:val="24"/>
        </w:rPr>
        <w:t>idad</w:t>
      </w:r>
      <w:r w:rsidR="004D246C">
        <w:rPr>
          <w:rFonts w:asciiTheme="minorHAnsi" w:eastAsiaTheme="minorHAnsi" w:hAnsiTheme="minorHAnsi" w:cstheme="minorHAnsi"/>
          <w:b w:val="0"/>
          <w:color w:val="auto"/>
          <w:szCs w:val="24"/>
        </w:rPr>
        <w:t xml:space="preserve"> activa en los términos establecidos en la Ley de Transparencia y </w:t>
      </w:r>
      <w:r w:rsidR="007E1F93">
        <w:rPr>
          <w:rFonts w:asciiTheme="minorHAnsi" w:eastAsiaTheme="minorHAnsi" w:hAnsiTheme="minorHAnsi" w:cstheme="minorHAnsi"/>
          <w:b w:val="0"/>
          <w:color w:val="auto"/>
          <w:szCs w:val="24"/>
        </w:rPr>
        <w:t xml:space="preserve">puede </w:t>
      </w:r>
      <w:r w:rsidR="004D246C">
        <w:rPr>
          <w:rFonts w:asciiTheme="minorHAnsi" w:eastAsiaTheme="minorHAnsi" w:hAnsiTheme="minorHAnsi" w:cstheme="minorHAnsi"/>
          <w:b w:val="0"/>
          <w:color w:val="auto"/>
          <w:szCs w:val="24"/>
        </w:rPr>
        <w:t xml:space="preserve">que su publicación en el Portal resulte redundante e innecesaria, </w:t>
      </w:r>
      <w:r w:rsidR="007E1F93">
        <w:rPr>
          <w:rFonts w:asciiTheme="minorHAnsi" w:eastAsiaTheme="minorHAnsi" w:hAnsiTheme="minorHAnsi" w:cstheme="minorHAnsi"/>
          <w:b w:val="0"/>
          <w:color w:val="auto"/>
          <w:szCs w:val="24"/>
        </w:rPr>
        <w:t>toda vez que ambas categorías de disposiciones se publican a través del Boletín Oficial del Estado</w:t>
      </w:r>
      <w:r w:rsidR="004D246C">
        <w:rPr>
          <w:rFonts w:asciiTheme="minorHAnsi" w:eastAsiaTheme="minorHAnsi" w:hAnsiTheme="minorHAnsi" w:cstheme="minorHAnsi"/>
          <w:b w:val="0"/>
          <w:color w:val="auto"/>
          <w:szCs w:val="24"/>
        </w:rPr>
        <w:t>. Y todo ello, sin olvidar la cantidad ingente de información que puede publicarse en ambas categorías y el consiguiente incremento en las labores de revisión y depuración de la información que se pueda suministrar por los ministerios. La transparencia no depende de la cantidad de información, sino de su calidad.</w:t>
      </w:r>
    </w:p>
    <w:p w:rsidR="00A64FC8" w:rsidRDefault="00563923" w:rsidP="00A64FC8">
      <w:pPr>
        <w:spacing w:before="120" w:after="120" w:line="312" w:lineRule="auto"/>
        <w:jc w:val="both"/>
        <w:rPr>
          <w:szCs w:val="24"/>
        </w:rPr>
      </w:pPr>
      <w:r w:rsidRPr="00A64FC8">
        <w:rPr>
          <w:rFonts w:cstheme="minorHAnsi"/>
          <w:b/>
          <w:szCs w:val="24"/>
        </w:rPr>
        <w:t>2º</w:t>
      </w:r>
      <w:r w:rsidRPr="00A64FC8">
        <w:rPr>
          <w:rFonts w:cstheme="minorHAnsi"/>
          <w:szCs w:val="24"/>
        </w:rPr>
        <w:t xml:space="preserve"> </w:t>
      </w:r>
      <w:r w:rsidRPr="00A64FC8">
        <w:rPr>
          <w:rFonts w:cstheme="minorHAnsi"/>
          <w:b/>
          <w:szCs w:val="24"/>
        </w:rPr>
        <w:t>Anteproyectos de ley</w:t>
      </w:r>
      <w:r w:rsidRPr="00A64FC8">
        <w:rPr>
          <w:rFonts w:cstheme="minorHAnsi"/>
          <w:szCs w:val="24"/>
        </w:rPr>
        <w:t>: este Cons</w:t>
      </w:r>
      <w:r w:rsidR="00A64FC8">
        <w:rPr>
          <w:rFonts w:cstheme="minorHAnsi"/>
          <w:szCs w:val="24"/>
        </w:rPr>
        <w:t>ejo</w:t>
      </w:r>
      <w:r w:rsidRPr="00A64FC8">
        <w:rPr>
          <w:rFonts w:cstheme="minorHAnsi"/>
          <w:szCs w:val="24"/>
        </w:rPr>
        <w:t xml:space="preserve"> es co</w:t>
      </w:r>
      <w:r w:rsidR="00A64FC8">
        <w:rPr>
          <w:rFonts w:cstheme="minorHAnsi"/>
          <w:szCs w:val="24"/>
        </w:rPr>
        <w:t>nsciente</w:t>
      </w:r>
      <w:r w:rsidRPr="00A64FC8">
        <w:rPr>
          <w:rFonts w:cstheme="minorHAnsi"/>
          <w:szCs w:val="24"/>
        </w:rPr>
        <w:t xml:space="preserve"> de la dif</w:t>
      </w:r>
      <w:r w:rsidR="00A64FC8">
        <w:rPr>
          <w:rFonts w:cstheme="minorHAnsi"/>
          <w:szCs w:val="24"/>
        </w:rPr>
        <w:t>i</w:t>
      </w:r>
      <w:r w:rsidRPr="00A64FC8">
        <w:rPr>
          <w:rFonts w:cstheme="minorHAnsi"/>
          <w:szCs w:val="24"/>
        </w:rPr>
        <w:t>cultad que entraña que la</w:t>
      </w:r>
      <w:r w:rsidRPr="00A64FC8">
        <w:rPr>
          <w:szCs w:val="24"/>
        </w:rPr>
        <w:t xml:space="preserve"> información </w:t>
      </w:r>
      <w:r w:rsidR="00A64FC8">
        <w:rPr>
          <w:szCs w:val="24"/>
        </w:rPr>
        <w:t xml:space="preserve">sea </w:t>
      </w:r>
      <w:r w:rsidRPr="00A64FC8">
        <w:rPr>
          <w:szCs w:val="24"/>
        </w:rPr>
        <w:t>suministrada por el Ministerio de la Presidencia, Relaciones con las Cortes y Memoria Democrática (MPCM). No obstan</w:t>
      </w:r>
      <w:r w:rsidR="00A64FC8">
        <w:rPr>
          <w:szCs w:val="24"/>
        </w:rPr>
        <w:t>te</w:t>
      </w:r>
      <w:r w:rsidRPr="00A64FC8">
        <w:rPr>
          <w:szCs w:val="24"/>
        </w:rPr>
        <w:t xml:space="preserve"> lo anterior</w:t>
      </w:r>
      <w:r w:rsidR="00A64FC8">
        <w:rPr>
          <w:szCs w:val="24"/>
        </w:rPr>
        <w:t>,</w:t>
      </w:r>
      <w:r w:rsidRPr="00A64FC8">
        <w:rPr>
          <w:szCs w:val="24"/>
        </w:rPr>
        <w:t xml:space="preserve"> man</w:t>
      </w:r>
      <w:r w:rsidR="00A64FC8">
        <w:rPr>
          <w:szCs w:val="24"/>
        </w:rPr>
        <w:t xml:space="preserve">tiene las </w:t>
      </w:r>
      <w:r w:rsidRPr="00A64FC8">
        <w:rPr>
          <w:szCs w:val="24"/>
        </w:rPr>
        <w:t>observacio</w:t>
      </w:r>
      <w:r w:rsidR="00A64FC8">
        <w:rPr>
          <w:szCs w:val="24"/>
        </w:rPr>
        <w:t xml:space="preserve">nes </w:t>
      </w:r>
      <w:r w:rsidRPr="00A64FC8">
        <w:rPr>
          <w:szCs w:val="24"/>
        </w:rPr>
        <w:t>efect</w:t>
      </w:r>
      <w:r w:rsidR="00A64FC8">
        <w:rPr>
          <w:szCs w:val="24"/>
        </w:rPr>
        <w:t>uadas</w:t>
      </w:r>
      <w:r w:rsidRPr="00A64FC8">
        <w:rPr>
          <w:szCs w:val="24"/>
        </w:rPr>
        <w:t xml:space="preserve"> en el informe provisional. </w:t>
      </w:r>
      <w:r w:rsidR="00A64FC8">
        <w:rPr>
          <w:szCs w:val="24"/>
        </w:rPr>
        <w:t xml:space="preserve">Se valora muy positivamente la propuesta relativa a crear un </w:t>
      </w:r>
      <w:r w:rsidRPr="00A64FC8">
        <w:rPr>
          <w:szCs w:val="24"/>
        </w:rPr>
        <w:t xml:space="preserve">nuevo elemento de información, dentro de Más transparencia, con la denominación de Proyectos de Ley en el que se incluirá esa información específica. </w:t>
      </w:r>
    </w:p>
    <w:p w:rsidR="00A64FC8" w:rsidRDefault="00A64FC8" w:rsidP="00A64FC8">
      <w:pPr>
        <w:spacing w:before="120" w:after="120" w:line="312" w:lineRule="auto"/>
        <w:jc w:val="both"/>
        <w:rPr>
          <w:szCs w:val="24"/>
        </w:rPr>
      </w:pPr>
      <w:r w:rsidRPr="00A64FC8">
        <w:rPr>
          <w:b/>
          <w:szCs w:val="24"/>
        </w:rPr>
        <w:t>3º Proyectos de Decretos Legislativos:</w:t>
      </w:r>
      <w:r>
        <w:rPr>
          <w:szCs w:val="24"/>
        </w:rPr>
        <w:t xml:space="preserve"> se valoran las modificaciones que se van a acometer pero, por el momento, deben </w:t>
      </w:r>
      <w:r w:rsidRPr="00A64FC8">
        <w:rPr>
          <w:szCs w:val="24"/>
        </w:rPr>
        <w:t>man</w:t>
      </w:r>
      <w:r>
        <w:rPr>
          <w:szCs w:val="24"/>
        </w:rPr>
        <w:t xml:space="preserve">tenerse las </w:t>
      </w:r>
      <w:r w:rsidRPr="00A64FC8">
        <w:rPr>
          <w:szCs w:val="24"/>
        </w:rPr>
        <w:t>observacio</w:t>
      </w:r>
      <w:r>
        <w:rPr>
          <w:szCs w:val="24"/>
        </w:rPr>
        <w:t xml:space="preserve">nes </w:t>
      </w:r>
      <w:r w:rsidRPr="00A64FC8">
        <w:rPr>
          <w:szCs w:val="24"/>
        </w:rPr>
        <w:t>efect</w:t>
      </w:r>
      <w:r>
        <w:rPr>
          <w:szCs w:val="24"/>
        </w:rPr>
        <w:t>uadas</w:t>
      </w:r>
      <w:r w:rsidRPr="00A64FC8">
        <w:rPr>
          <w:szCs w:val="24"/>
        </w:rPr>
        <w:t xml:space="preserve"> en el informe provisional.</w:t>
      </w:r>
    </w:p>
    <w:p w:rsidR="002F7779" w:rsidRDefault="004D246C" w:rsidP="00A64FC8">
      <w:pPr>
        <w:spacing w:before="120" w:after="120" w:line="312" w:lineRule="auto"/>
        <w:jc w:val="both"/>
        <w:rPr>
          <w:szCs w:val="24"/>
        </w:rPr>
      </w:pPr>
      <w:r w:rsidRPr="004D246C">
        <w:rPr>
          <w:szCs w:val="24"/>
        </w:rPr>
        <w:t xml:space="preserve">En cuanto a la siguiente propuesta </w:t>
      </w:r>
      <w:r w:rsidRPr="004D246C">
        <w:rPr>
          <w:i/>
          <w:szCs w:val="24"/>
        </w:rPr>
        <w:t>“</w:t>
      </w:r>
      <w:r w:rsidR="002F7779" w:rsidRPr="004D246C">
        <w:rPr>
          <w:i/>
          <w:szCs w:val="24"/>
        </w:rPr>
        <w:t>Modificar la respuesta de la Base de Datos (BBDD) cuando no hay resultados para que sea más explicativa</w:t>
      </w:r>
      <w:r w:rsidRPr="004D246C">
        <w:rPr>
          <w:i/>
          <w:szCs w:val="24"/>
        </w:rPr>
        <w:t>”</w:t>
      </w:r>
      <w:r w:rsidRPr="004D246C">
        <w:rPr>
          <w:szCs w:val="24"/>
        </w:rPr>
        <w:t>, se aconseja que se haga extensiva a todas las informaci</w:t>
      </w:r>
      <w:r>
        <w:rPr>
          <w:szCs w:val="24"/>
        </w:rPr>
        <w:t>ones</w:t>
      </w:r>
      <w:r w:rsidRPr="004D246C">
        <w:rPr>
          <w:szCs w:val="24"/>
        </w:rPr>
        <w:t xml:space="preserve"> sujetas a publicidad activa.</w:t>
      </w:r>
      <w:r>
        <w:rPr>
          <w:szCs w:val="24"/>
        </w:rPr>
        <w:t xml:space="preserve"> </w:t>
      </w:r>
    </w:p>
    <w:p w:rsidR="00A64FC8" w:rsidRDefault="00A64FC8" w:rsidP="00A64FC8">
      <w:pPr>
        <w:spacing w:before="120" w:after="120" w:line="312" w:lineRule="auto"/>
        <w:jc w:val="both"/>
        <w:rPr>
          <w:szCs w:val="24"/>
        </w:rPr>
      </w:pPr>
      <w:r w:rsidRPr="00A64FC8">
        <w:rPr>
          <w:b/>
          <w:szCs w:val="24"/>
        </w:rPr>
        <w:t>4º Proyectos de Reglamentos</w:t>
      </w:r>
      <w:r>
        <w:rPr>
          <w:szCs w:val="24"/>
        </w:rPr>
        <w:t xml:space="preserve">: se valoran las modificaciones que se van a acometer pero, por el momento, deben </w:t>
      </w:r>
      <w:r w:rsidRPr="00A64FC8">
        <w:rPr>
          <w:szCs w:val="24"/>
        </w:rPr>
        <w:t>man</w:t>
      </w:r>
      <w:r>
        <w:rPr>
          <w:szCs w:val="24"/>
        </w:rPr>
        <w:t xml:space="preserve">tenerse las </w:t>
      </w:r>
      <w:r w:rsidRPr="00A64FC8">
        <w:rPr>
          <w:szCs w:val="24"/>
        </w:rPr>
        <w:t>observacio</w:t>
      </w:r>
      <w:r>
        <w:rPr>
          <w:szCs w:val="24"/>
        </w:rPr>
        <w:t xml:space="preserve">nes </w:t>
      </w:r>
      <w:r w:rsidRPr="00A64FC8">
        <w:rPr>
          <w:szCs w:val="24"/>
        </w:rPr>
        <w:t>efect</w:t>
      </w:r>
      <w:r>
        <w:rPr>
          <w:szCs w:val="24"/>
        </w:rPr>
        <w:t>uadas</w:t>
      </w:r>
      <w:r w:rsidRPr="00A64FC8">
        <w:rPr>
          <w:szCs w:val="24"/>
        </w:rPr>
        <w:t xml:space="preserve"> en el informe provisional.</w:t>
      </w:r>
      <w:r>
        <w:rPr>
          <w:szCs w:val="24"/>
        </w:rPr>
        <w:t xml:space="preserve"> </w:t>
      </w:r>
    </w:p>
    <w:p w:rsidR="002F4D5B" w:rsidRDefault="002F4D5B" w:rsidP="002F4D5B">
      <w:pPr>
        <w:pStyle w:val="Ttulo3"/>
        <w:jc w:val="both"/>
        <w:rPr>
          <w:rFonts w:ascii="Calibri" w:eastAsiaTheme="minorHAnsi" w:hAnsi="Calibri" w:cstheme="minorBidi"/>
          <w:b w:val="0"/>
          <w:bCs w:val="0"/>
          <w:color w:val="auto"/>
          <w:szCs w:val="24"/>
        </w:rPr>
      </w:pPr>
      <w:r>
        <w:rPr>
          <w:rFonts w:ascii="Calibri" w:eastAsiaTheme="minorHAnsi" w:hAnsi="Calibri" w:cstheme="minorBidi"/>
          <w:bCs w:val="0"/>
          <w:color w:val="auto"/>
          <w:szCs w:val="24"/>
        </w:rPr>
        <w:lastRenderedPageBreak/>
        <w:t xml:space="preserve">5º. </w:t>
      </w:r>
      <w:r w:rsidRPr="007B7237">
        <w:rPr>
          <w:rFonts w:ascii="Calibri" w:eastAsiaTheme="minorHAnsi" w:hAnsi="Calibri" w:cstheme="minorBidi"/>
          <w:bCs w:val="0"/>
          <w:color w:val="auto"/>
          <w:szCs w:val="24"/>
        </w:rPr>
        <w:t>Memorias e informes que conformen los expedientes de elaboración de los textos normativos</w:t>
      </w:r>
      <w:r>
        <w:rPr>
          <w:rFonts w:ascii="Calibri" w:eastAsiaTheme="minorHAnsi" w:hAnsi="Calibri" w:cstheme="minorBidi"/>
          <w:bCs w:val="0"/>
          <w:color w:val="auto"/>
          <w:szCs w:val="24"/>
        </w:rPr>
        <w:t xml:space="preserve">: </w:t>
      </w:r>
      <w:r w:rsidRPr="007B7237">
        <w:rPr>
          <w:rFonts w:ascii="Calibri" w:eastAsiaTheme="minorHAnsi" w:hAnsi="Calibri" w:cstheme="minorBidi"/>
          <w:b w:val="0"/>
          <w:bCs w:val="0"/>
          <w:color w:val="auto"/>
          <w:szCs w:val="24"/>
        </w:rPr>
        <w:t>en cu</w:t>
      </w:r>
      <w:r>
        <w:rPr>
          <w:rFonts w:ascii="Calibri" w:eastAsiaTheme="minorHAnsi" w:hAnsi="Calibri" w:cstheme="minorBidi"/>
          <w:b w:val="0"/>
          <w:bCs w:val="0"/>
          <w:color w:val="auto"/>
          <w:szCs w:val="24"/>
        </w:rPr>
        <w:t>a</w:t>
      </w:r>
      <w:r w:rsidRPr="007B7237">
        <w:rPr>
          <w:rFonts w:ascii="Calibri" w:eastAsiaTheme="minorHAnsi" w:hAnsi="Calibri" w:cstheme="minorBidi"/>
          <w:b w:val="0"/>
          <w:bCs w:val="0"/>
          <w:color w:val="auto"/>
          <w:szCs w:val="24"/>
        </w:rPr>
        <w:t>nto al comentario “</w:t>
      </w:r>
      <w:r w:rsidRPr="00987B3A">
        <w:rPr>
          <w:rFonts w:ascii="Calibri" w:eastAsiaTheme="minorHAnsi" w:hAnsi="Calibri" w:cstheme="minorBidi"/>
          <w:b w:val="0"/>
          <w:bCs w:val="0"/>
          <w:i/>
          <w:color w:val="auto"/>
          <w:szCs w:val="24"/>
        </w:rPr>
        <w:t>Las memorias y los informes que se reciben de la Comisión Virtual se recogen contextualizados dentro de cada anteproyecto / proyecto que se recogen en el PT</w:t>
      </w:r>
      <w:r w:rsidRPr="007B7237">
        <w:rPr>
          <w:rFonts w:ascii="Calibri" w:eastAsiaTheme="minorHAnsi" w:hAnsi="Calibri" w:cstheme="minorBidi"/>
          <w:b w:val="0"/>
          <w:bCs w:val="0"/>
          <w:color w:val="auto"/>
          <w:szCs w:val="24"/>
        </w:rPr>
        <w:t>”, esta circunsta</w:t>
      </w:r>
      <w:r>
        <w:rPr>
          <w:rFonts w:ascii="Calibri" w:eastAsiaTheme="minorHAnsi" w:hAnsi="Calibri" w:cstheme="minorBidi"/>
          <w:b w:val="0"/>
          <w:bCs w:val="0"/>
          <w:color w:val="auto"/>
          <w:szCs w:val="24"/>
        </w:rPr>
        <w:t>n</w:t>
      </w:r>
      <w:r w:rsidRPr="007B7237">
        <w:rPr>
          <w:rFonts w:ascii="Calibri" w:eastAsiaTheme="minorHAnsi" w:hAnsi="Calibri" w:cstheme="minorBidi"/>
          <w:b w:val="0"/>
          <w:bCs w:val="0"/>
          <w:color w:val="auto"/>
          <w:szCs w:val="24"/>
        </w:rPr>
        <w:t>cia debe</w:t>
      </w:r>
      <w:r>
        <w:rPr>
          <w:rFonts w:ascii="Calibri" w:eastAsiaTheme="minorHAnsi" w:hAnsi="Calibri" w:cstheme="minorBidi"/>
          <w:b w:val="0"/>
          <w:bCs w:val="0"/>
          <w:color w:val="auto"/>
          <w:szCs w:val="24"/>
        </w:rPr>
        <w:t>ría</w:t>
      </w:r>
      <w:r w:rsidRPr="007B7237">
        <w:rPr>
          <w:rFonts w:ascii="Calibri" w:eastAsiaTheme="minorHAnsi" w:hAnsi="Calibri" w:cstheme="minorBidi"/>
          <w:b w:val="0"/>
          <w:bCs w:val="0"/>
          <w:color w:val="auto"/>
          <w:szCs w:val="24"/>
        </w:rPr>
        <w:t xml:space="preserve"> expl</w:t>
      </w:r>
      <w:r>
        <w:rPr>
          <w:rFonts w:ascii="Calibri" w:eastAsiaTheme="minorHAnsi" w:hAnsi="Calibri" w:cstheme="minorBidi"/>
          <w:b w:val="0"/>
          <w:bCs w:val="0"/>
          <w:color w:val="auto"/>
          <w:szCs w:val="24"/>
        </w:rPr>
        <w:t>i</w:t>
      </w:r>
      <w:r w:rsidRPr="007B7237">
        <w:rPr>
          <w:rFonts w:ascii="Calibri" w:eastAsiaTheme="minorHAnsi" w:hAnsi="Calibri" w:cstheme="minorBidi"/>
          <w:b w:val="0"/>
          <w:bCs w:val="0"/>
          <w:color w:val="auto"/>
          <w:szCs w:val="24"/>
        </w:rPr>
        <w:t>ci</w:t>
      </w:r>
      <w:r>
        <w:rPr>
          <w:rFonts w:ascii="Calibri" w:eastAsiaTheme="minorHAnsi" w:hAnsi="Calibri" w:cstheme="minorBidi"/>
          <w:b w:val="0"/>
          <w:bCs w:val="0"/>
          <w:color w:val="auto"/>
          <w:szCs w:val="24"/>
        </w:rPr>
        <w:t>tarse</w:t>
      </w:r>
      <w:r w:rsidRPr="007B7237">
        <w:rPr>
          <w:rFonts w:ascii="Calibri" w:eastAsiaTheme="minorHAnsi" w:hAnsi="Calibri" w:cstheme="minorBidi"/>
          <w:b w:val="0"/>
          <w:bCs w:val="0"/>
          <w:color w:val="auto"/>
          <w:szCs w:val="24"/>
        </w:rPr>
        <w:t xml:space="preserve">, tanto </w:t>
      </w:r>
      <w:r>
        <w:rPr>
          <w:rFonts w:ascii="Calibri" w:eastAsiaTheme="minorHAnsi" w:hAnsi="Calibri" w:cstheme="minorBidi"/>
          <w:b w:val="0"/>
          <w:bCs w:val="0"/>
          <w:color w:val="auto"/>
          <w:szCs w:val="24"/>
        </w:rPr>
        <w:t xml:space="preserve">en </w:t>
      </w:r>
      <w:r w:rsidRPr="007B7237">
        <w:rPr>
          <w:rFonts w:ascii="Calibri" w:eastAsiaTheme="minorHAnsi" w:hAnsi="Calibri" w:cstheme="minorBidi"/>
          <w:b w:val="0"/>
          <w:bCs w:val="0"/>
          <w:color w:val="auto"/>
          <w:szCs w:val="24"/>
        </w:rPr>
        <w:t>lo relativo a la f</w:t>
      </w:r>
      <w:r>
        <w:rPr>
          <w:rFonts w:ascii="Calibri" w:eastAsiaTheme="minorHAnsi" w:hAnsi="Calibri" w:cstheme="minorBidi"/>
          <w:b w:val="0"/>
          <w:bCs w:val="0"/>
          <w:color w:val="auto"/>
          <w:szCs w:val="24"/>
        </w:rPr>
        <w:t>uente</w:t>
      </w:r>
      <w:r w:rsidRPr="007B7237">
        <w:rPr>
          <w:rFonts w:ascii="Calibri" w:eastAsiaTheme="minorHAnsi" w:hAnsi="Calibri" w:cstheme="minorBidi"/>
          <w:b w:val="0"/>
          <w:bCs w:val="0"/>
          <w:color w:val="auto"/>
          <w:szCs w:val="24"/>
        </w:rPr>
        <w:t xml:space="preserve"> como a </w:t>
      </w:r>
      <w:r>
        <w:rPr>
          <w:rFonts w:ascii="Calibri" w:eastAsiaTheme="minorHAnsi" w:hAnsi="Calibri" w:cstheme="minorBidi"/>
          <w:b w:val="0"/>
          <w:bCs w:val="0"/>
          <w:color w:val="auto"/>
          <w:szCs w:val="24"/>
        </w:rPr>
        <w:t xml:space="preserve">la </w:t>
      </w:r>
      <w:r w:rsidRPr="007B7237">
        <w:rPr>
          <w:rFonts w:ascii="Calibri" w:eastAsiaTheme="minorHAnsi" w:hAnsi="Calibri" w:cstheme="minorBidi"/>
          <w:b w:val="0"/>
          <w:bCs w:val="0"/>
          <w:color w:val="auto"/>
          <w:szCs w:val="24"/>
        </w:rPr>
        <w:t>l</w:t>
      </w:r>
      <w:r>
        <w:rPr>
          <w:rFonts w:ascii="Calibri" w:eastAsiaTheme="minorHAnsi" w:hAnsi="Calibri" w:cstheme="minorBidi"/>
          <w:b w:val="0"/>
          <w:bCs w:val="0"/>
          <w:color w:val="auto"/>
          <w:szCs w:val="24"/>
        </w:rPr>
        <w:t xml:space="preserve">ocalización de esta información. </w:t>
      </w:r>
    </w:p>
    <w:p w:rsidR="002F4D5B" w:rsidRDefault="002F4D5B" w:rsidP="002F4D5B">
      <w:pPr>
        <w:pStyle w:val="Ttulo3"/>
        <w:jc w:val="both"/>
        <w:rPr>
          <w:rFonts w:ascii="Calibri" w:eastAsiaTheme="minorHAnsi" w:hAnsi="Calibri" w:cstheme="minorBidi"/>
          <w:b w:val="0"/>
          <w:bCs w:val="0"/>
          <w:color w:val="auto"/>
          <w:szCs w:val="24"/>
        </w:rPr>
      </w:pPr>
      <w:r w:rsidRPr="007B7237">
        <w:rPr>
          <w:rFonts w:ascii="Calibri" w:eastAsiaTheme="minorHAnsi" w:hAnsi="Calibri" w:cstheme="minorBidi"/>
          <w:bCs w:val="0"/>
          <w:color w:val="auto"/>
          <w:szCs w:val="24"/>
        </w:rPr>
        <w:t>6º. Documentos sometidos a información pública durante su tramitación</w:t>
      </w:r>
      <w:r>
        <w:rPr>
          <w:rFonts w:ascii="Calibri" w:eastAsiaTheme="minorHAnsi" w:hAnsi="Calibri" w:cstheme="minorBidi"/>
          <w:bCs w:val="0"/>
          <w:color w:val="auto"/>
          <w:szCs w:val="24"/>
        </w:rPr>
        <w:t xml:space="preserve">: </w:t>
      </w:r>
      <w:r w:rsidRPr="00987B3A">
        <w:rPr>
          <w:rFonts w:ascii="Calibri" w:eastAsiaTheme="minorHAnsi" w:hAnsi="Calibri" w:cstheme="minorBidi"/>
          <w:b w:val="0"/>
          <w:bCs w:val="0"/>
          <w:color w:val="auto"/>
          <w:szCs w:val="24"/>
        </w:rPr>
        <w:t xml:space="preserve">este Consejo </w:t>
      </w:r>
      <w:r>
        <w:rPr>
          <w:rFonts w:ascii="Calibri" w:eastAsiaTheme="minorHAnsi" w:hAnsi="Calibri" w:cstheme="minorBidi"/>
          <w:b w:val="0"/>
          <w:bCs w:val="0"/>
          <w:color w:val="auto"/>
          <w:szCs w:val="24"/>
        </w:rPr>
        <w:t>es consciente de que la información no pueda ofrecerse de</w:t>
      </w:r>
      <w:r w:rsidR="004D246C">
        <w:rPr>
          <w:rFonts w:ascii="Calibri" w:eastAsiaTheme="minorHAnsi" w:hAnsi="Calibri" w:cstheme="minorBidi"/>
          <w:b w:val="0"/>
          <w:bCs w:val="0"/>
          <w:color w:val="auto"/>
          <w:szCs w:val="24"/>
        </w:rPr>
        <w:t xml:space="preserve"> </w:t>
      </w:r>
      <w:r>
        <w:rPr>
          <w:rFonts w:ascii="Calibri" w:eastAsiaTheme="minorHAnsi" w:hAnsi="Calibri" w:cstheme="minorBidi"/>
          <w:b w:val="0"/>
          <w:bCs w:val="0"/>
          <w:color w:val="auto"/>
          <w:szCs w:val="24"/>
        </w:rPr>
        <w:t>otra manera más que enlazada a las páginas webs ministeriales. Sin embargo, no todos los enlaces posicionan en esta información: se ha detectado que no todas las páginas ministeriales en las que posicionan los enlaces</w:t>
      </w:r>
      <w:r w:rsidR="004D246C">
        <w:rPr>
          <w:rFonts w:ascii="Calibri" w:eastAsiaTheme="minorHAnsi" w:hAnsi="Calibri" w:cstheme="minorBidi"/>
          <w:b w:val="0"/>
          <w:bCs w:val="0"/>
          <w:color w:val="auto"/>
          <w:szCs w:val="24"/>
        </w:rPr>
        <w:t xml:space="preserve"> </w:t>
      </w:r>
      <w:r>
        <w:rPr>
          <w:rFonts w:ascii="Calibri" w:eastAsiaTheme="minorHAnsi" w:hAnsi="Calibri" w:cstheme="minorBidi"/>
          <w:b w:val="0"/>
          <w:bCs w:val="0"/>
          <w:color w:val="auto"/>
          <w:szCs w:val="24"/>
        </w:rPr>
        <w:t xml:space="preserve">informan de este elemento junto al </w:t>
      </w:r>
      <w:r w:rsidRPr="00BF5B9B">
        <w:rPr>
          <w:rFonts w:ascii="Calibri" w:eastAsiaTheme="minorHAnsi" w:hAnsi="Calibri" w:cstheme="minorBidi"/>
          <w:b w:val="0"/>
          <w:bCs w:val="0"/>
          <w:color w:val="auto"/>
          <w:szCs w:val="24"/>
        </w:rPr>
        <w:t xml:space="preserve">espacio de participación pública en proyectos normativos </w:t>
      </w:r>
      <w:r>
        <w:rPr>
          <w:rFonts w:ascii="Calibri" w:eastAsiaTheme="minorHAnsi" w:hAnsi="Calibri" w:cstheme="minorBidi"/>
          <w:b w:val="0"/>
          <w:bCs w:val="0"/>
          <w:color w:val="auto"/>
          <w:szCs w:val="24"/>
        </w:rPr>
        <w:t>r</w:t>
      </w:r>
      <w:r w:rsidRPr="00BF5B9B">
        <w:rPr>
          <w:rFonts w:ascii="Calibri" w:eastAsiaTheme="minorHAnsi" w:hAnsi="Calibri" w:cstheme="minorBidi"/>
          <w:b w:val="0"/>
          <w:bCs w:val="0"/>
          <w:color w:val="auto"/>
          <w:szCs w:val="24"/>
        </w:rPr>
        <w:t xml:space="preserve">ecogida en el artículo 133 de la </w:t>
      </w:r>
      <w:hyperlink r:id="rId8" w:tgtFrame="_blank" w:tooltip="Abrir en una ventana nueva: Ley 39/2015, de 1 de octubre, del Procedimiento Administrativo Común de las Administraciones Públicas" w:history="1">
        <w:r w:rsidRPr="00BF5B9B">
          <w:rPr>
            <w:rFonts w:ascii="Calibri" w:eastAsiaTheme="minorHAnsi" w:hAnsi="Calibri" w:cstheme="minorBidi"/>
            <w:b w:val="0"/>
            <w:bCs w:val="0"/>
            <w:color w:val="auto"/>
            <w:szCs w:val="24"/>
          </w:rPr>
          <w:t>Ley 39/2015, de 1 de octubre, del Procedimiento Administrativo Común de las Administraciones Públicas</w:t>
        </w:r>
      </w:hyperlink>
      <w:r>
        <w:rPr>
          <w:rFonts w:ascii="Calibri" w:eastAsiaTheme="minorHAnsi" w:hAnsi="Calibri" w:cstheme="minorBidi"/>
          <w:b w:val="0"/>
          <w:bCs w:val="0"/>
          <w:color w:val="auto"/>
          <w:szCs w:val="24"/>
        </w:rPr>
        <w:t>. Ni tan siquiera se menciona esta obligación de publicidad activa (por ejemplo, el Ministerio de Agricultura, Pesca y Alimentación o el</w:t>
      </w:r>
      <w:r w:rsidR="004D246C">
        <w:rPr>
          <w:rFonts w:ascii="Calibri" w:eastAsiaTheme="minorHAnsi" w:hAnsi="Calibri" w:cstheme="minorBidi"/>
          <w:b w:val="0"/>
          <w:bCs w:val="0"/>
          <w:color w:val="auto"/>
          <w:szCs w:val="24"/>
        </w:rPr>
        <w:t xml:space="preserve"> </w:t>
      </w:r>
      <w:r>
        <w:rPr>
          <w:rFonts w:ascii="Calibri" w:eastAsiaTheme="minorHAnsi" w:hAnsi="Calibri" w:cstheme="minorBidi"/>
          <w:b w:val="0"/>
          <w:bCs w:val="0"/>
          <w:color w:val="auto"/>
          <w:szCs w:val="24"/>
        </w:rPr>
        <w:t xml:space="preserve">Ministerio de Asuntos Exteriores, Unión Europea y Cooperación). Por otro lado, en este apartado se relacionan los Ministerios de acuerdo con </w:t>
      </w:r>
      <w:r w:rsidR="00BC5ADA">
        <w:rPr>
          <w:rFonts w:ascii="Calibri" w:eastAsiaTheme="minorHAnsi" w:hAnsi="Calibri" w:cstheme="minorBidi"/>
          <w:b w:val="0"/>
          <w:bCs w:val="0"/>
          <w:color w:val="auto"/>
          <w:szCs w:val="24"/>
        </w:rPr>
        <w:t>la</w:t>
      </w:r>
      <w:r>
        <w:rPr>
          <w:rFonts w:ascii="Calibri" w:eastAsiaTheme="minorHAnsi" w:hAnsi="Calibri" w:cstheme="minorBidi"/>
          <w:b w:val="0"/>
          <w:bCs w:val="0"/>
          <w:color w:val="auto"/>
          <w:szCs w:val="24"/>
        </w:rPr>
        <w:t xml:space="preserve"> estructura</w:t>
      </w:r>
      <w:r w:rsidR="004D246C">
        <w:rPr>
          <w:rFonts w:ascii="Calibri" w:eastAsiaTheme="minorHAnsi" w:hAnsi="Calibri" w:cstheme="minorBidi"/>
          <w:b w:val="0"/>
          <w:bCs w:val="0"/>
          <w:color w:val="auto"/>
          <w:szCs w:val="24"/>
        </w:rPr>
        <w:t xml:space="preserve"> </w:t>
      </w:r>
      <w:r>
        <w:rPr>
          <w:rFonts w:ascii="Calibri" w:eastAsiaTheme="minorHAnsi" w:hAnsi="Calibri" w:cstheme="minorBidi"/>
          <w:b w:val="0"/>
          <w:bCs w:val="0"/>
          <w:color w:val="auto"/>
          <w:szCs w:val="24"/>
        </w:rPr>
        <w:t xml:space="preserve">anterior a 2020 (tanto en número, 17, como en denominación) </w:t>
      </w:r>
    </w:p>
    <w:p w:rsidR="002F4D5B" w:rsidRDefault="002F4D5B" w:rsidP="002F4D5B">
      <w:pPr>
        <w:pStyle w:val="Textocomentario"/>
        <w:spacing w:before="120" w:after="120" w:line="312" w:lineRule="auto"/>
        <w:rPr>
          <w:rFonts w:eastAsiaTheme="minorHAnsi" w:cstheme="minorHAnsi"/>
          <w:sz w:val="22"/>
          <w:szCs w:val="22"/>
          <w:lang w:eastAsia="en-US"/>
        </w:rPr>
      </w:pPr>
      <w:r w:rsidRPr="00563923">
        <w:rPr>
          <w:rFonts w:eastAsiaTheme="minorHAnsi" w:cstheme="minorHAnsi"/>
          <w:sz w:val="22"/>
          <w:szCs w:val="22"/>
          <w:lang w:eastAsia="en-US"/>
        </w:rPr>
        <w:t xml:space="preserve">Teniendo en cuenta cuanto antecede, </w:t>
      </w:r>
      <w:r>
        <w:rPr>
          <w:rFonts w:eastAsiaTheme="minorHAnsi" w:cstheme="minorHAnsi"/>
          <w:sz w:val="22"/>
          <w:szCs w:val="22"/>
          <w:lang w:eastAsia="en-US"/>
        </w:rPr>
        <w:t xml:space="preserve">el bloque de información de relevancia jurídica mantiene la </w:t>
      </w:r>
      <w:r w:rsidR="00245DFC">
        <w:rPr>
          <w:rFonts w:eastAsiaTheme="minorHAnsi" w:cstheme="minorHAnsi"/>
          <w:sz w:val="22"/>
          <w:szCs w:val="22"/>
          <w:lang w:eastAsia="en-US"/>
        </w:rPr>
        <w:t>valoración d</w:t>
      </w:r>
      <w:r>
        <w:rPr>
          <w:rFonts w:eastAsiaTheme="minorHAnsi" w:cstheme="minorHAnsi"/>
          <w:sz w:val="22"/>
          <w:szCs w:val="22"/>
          <w:lang w:eastAsia="en-US"/>
        </w:rPr>
        <w:t>el informe provisional.</w:t>
      </w:r>
    </w:p>
    <w:p w:rsidR="002F4D5B" w:rsidRDefault="002F4D5B" w:rsidP="002F4D5B">
      <w:pPr>
        <w:tabs>
          <w:tab w:val="left" w:pos="284"/>
        </w:tabs>
        <w:spacing w:before="120" w:after="120" w:line="312" w:lineRule="auto"/>
        <w:jc w:val="both"/>
        <w:rPr>
          <w:rFonts w:cstheme="minorHAnsi"/>
          <w:b/>
          <w:i/>
          <w:sz w:val="22"/>
        </w:rPr>
      </w:pPr>
      <w:r>
        <w:rPr>
          <w:rFonts w:cstheme="minorHAnsi"/>
          <w:sz w:val="22"/>
        </w:rPr>
        <w:t>No obstante lo anterior, e</w:t>
      </w:r>
      <w:r w:rsidRPr="00563923">
        <w:rPr>
          <w:rFonts w:cstheme="minorHAnsi"/>
          <w:b/>
          <w:i/>
          <w:sz w:val="22"/>
        </w:rPr>
        <w:t xml:space="preserve">ste Consejo valora muy positivamente </w:t>
      </w:r>
      <w:r>
        <w:rPr>
          <w:rFonts w:cstheme="minorHAnsi"/>
          <w:b/>
          <w:i/>
          <w:sz w:val="22"/>
        </w:rPr>
        <w:t>las</w:t>
      </w:r>
      <w:r w:rsidRPr="00563923">
        <w:rPr>
          <w:rFonts w:cstheme="minorHAnsi"/>
          <w:b/>
          <w:i/>
          <w:sz w:val="22"/>
        </w:rPr>
        <w:t xml:space="preserve"> revisiones llevadas a cabo y las que están previstas acometer en este bloque de información </w:t>
      </w:r>
      <w:r>
        <w:rPr>
          <w:rFonts w:cstheme="minorHAnsi"/>
          <w:b/>
          <w:i/>
          <w:sz w:val="22"/>
        </w:rPr>
        <w:t xml:space="preserve">de relevancia jurídica, y la dificultad que ello entraña. </w:t>
      </w:r>
    </w:p>
    <w:p w:rsidR="002F4D5B" w:rsidRDefault="002F4D5B" w:rsidP="00BC4E68">
      <w:pPr>
        <w:tabs>
          <w:tab w:val="left" w:pos="284"/>
        </w:tabs>
        <w:spacing w:before="120" w:after="120" w:line="312" w:lineRule="auto"/>
        <w:jc w:val="both"/>
        <w:rPr>
          <w:rFonts w:asciiTheme="minorHAnsi" w:hAnsiTheme="minorHAnsi" w:cstheme="minorHAnsi"/>
          <w:b/>
          <w:color w:val="365F91" w:themeColor="accent1" w:themeShade="BF"/>
          <w:szCs w:val="24"/>
        </w:rPr>
      </w:pPr>
    </w:p>
    <w:p w:rsidR="00BC4E68" w:rsidRPr="008C2B46" w:rsidRDefault="00BC4E68" w:rsidP="00BC4E68">
      <w:pPr>
        <w:tabs>
          <w:tab w:val="left" w:pos="284"/>
        </w:tabs>
        <w:spacing w:before="120" w:after="120" w:line="312" w:lineRule="auto"/>
        <w:jc w:val="both"/>
        <w:rPr>
          <w:rFonts w:asciiTheme="minorHAnsi" w:hAnsiTheme="minorHAnsi" w:cstheme="minorHAnsi"/>
          <w:b/>
          <w:color w:val="00B050"/>
          <w:szCs w:val="24"/>
        </w:rPr>
      </w:pPr>
      <w:r w:rsidRPr="008C2B46">
        <w:rPr>
          <w:rFonts w:asciiTheme="minorHAnsi" w:hAnsiTheme="minorHAnsi" w:cstheme="minorHAnsi"/>
          <w:b/>
          <w:color w:val="00B050"/>
          <w:szCs w:val="24"/>
        </w:rPr>
        <w:t xml:space="preserve">Información económica, presupuestaria y estadística </w:t>
      </w:r>
    </w:p>
    <w:p w:rsidR="00BC4E68" w:rsidRDefault="00BC5ADA" w:rsidP="00BC4E68">
      <w:pPr>
        <w:tabs>
          <w:tab w:val="left" w:pos="284"/>
        </w:tabs>
        <w:spacing w:before="120" w:after="120" w:line="312" w:lineRule="auto"/>
        <w:jc w:val="both"/>
        <w:rPr>
          <w:rFonts w:asciiTheme="minorHAnsi" w:hAnsiTheme="minorHAnsi" w:cstheme="minorHAnsi"/>
          <w:b/>
          <w:szCs w:val="24"/>
        </w:rPr>
      </w:pPr>
      <w:r w:rsidRPr="00BC5ADA">
        <w:rPr>
          <w:rFonts w:asciiTheme="minorHAnsi" w:hAnsiTheme="minorHAnsi" w:cstheme="minorHAnsi"/>
          <w:b/>
          <w:szCs w:val="24"/>
        </w:rPr>
        <w:t>1º</w:t>
      </w:r>
      <w:r>
        <w:rPr>
          <w:rFonts w:asciiTheme="minorHAnsi" w:hAnsiTheme="minorHAnsi" w:cstheme="minorHAnsi"/>
          <w:b/>
          <w:szCs w:val="24"/>
        </w:rPr>
        <w:t xml:space="preserve"> </w:t>
      </w:r>
      <w:r w:rsidR="00DD0A24">
        <w:rPr>
          <w:rFonts w:asciiTheme="minorHAnsi" w:hAnsiTheme="minorHAnsi" w:cstheme="minorHAnsi"/>
          <w:b/>
          <w:szCs w:val="24"/>
        </w:rPr>
        <w:t>C</w:t>
      </w:r>
      <w:r>
        <w:rPr>
          <w:rFonts w:asciiTheme="minorHAnsi" w:hAnsiTheme="minorHAnsi" w:cstheme="minorHAnsi"/>
          <w:b/>
          <w:szCs w:val="24"/>
        </w:rPr>
        <w:t>ontratos</w:t>
      </w:r>
    </w:p>
    <w:p w:rsidR="00BC5ADA" w:rsidRDefault="00BC5ADA" w:rsidP="00BC4E68">
      <w:pPr>
        <w:tabs>
          <w:tab w:val="left" w:pos="284"/>
        </w:tabs>
        <w:spacing w:before="120" w:after="120" w:line="312" w:lineRule="auto"/>
        <w:jc w:val="both"/>
        <w:rPr>
          <w:rFonts w:asciiTheme="minorHAnsi" w:hAnsiTheme="minorHAnsi" w:cstheme="minorHAnsi"/>
          <w:szCs w:val="24"/>
        </w:rPr>
      </w:pPr>
      <w:r w:rsidRPr="00BC5ADA">
        <w:rPr>
          <w:rFonts w:asciiTheme="minorHAnsi" w:hAnsiTheme="minorHAnsi" w:cstheme="minorHAnsi"/>
          <w:szCs w:val="24"/>
        </w:rPr>
        <w:t>En el informe de alegaciones se indica</w:t>
      </w:r>
      <w:r>
        <w:rPr>
          <w:rFonts w:asciiTheme="minorHAnsi" w:hAnsiTheme="minorHAnsi" w:cstheme="minorHAnsi"/>
          <w:szCs w:val="24"/>
        </w:rPr>
        <w:t xml:space="preserve"> – en relación con el hecho de que en la ficha resumen </w:t>
      </w:r>
      <w:r w:rsidR="00BF5291">
        <w:rPr>
          <w:rFonts w:asciiTheme="minorHAnsi" w:hAnsiTheme="minorHAnsi" w:cstheme="minorHAnsi"/>
          <w:szCs w:val="24"/>
        </w:rPr>
        <w:t>s</w:t>
      </w:r>
      <w:r>
        <w:rPr>
          <w:rFonts w:asciiTheme="minorHAnsi" w:hAnsiTheme="minorHAnsi" w:cstheme="minorHAnsi"/>
          <w:szCs w:val="24"/>
        </w:rPr>
        <w:t>e incluyan contratos de organismos dependientes de un Ministerio en otro Ministerio y que las denominaciones de los Ministerios no se corresponda con la actual -  que la información sobre contratos procede de la Plataforma de Contratación del Sector Público</w:t>
      </w:r>
      <w:r w:rsidR="00BF5291">
        <w:rPr>
          <w:rFonts w:asciiTheme="minorHAnsi" w:hAnsiTheme="minorHAnsi" w:cstheme="minorHAnsi"/>
          <w:szCs w:val="24"/>
        </w:rPr>
        <w:t xml:space="preserve"> (en adelante, PCSP)</w:t>
      </w:r>
      <w:r>
        <w:rPr>
          <w:rFonts w:asciiTheme="minorHAnsi" w:hAnsiTheme="minorHAnsi" w:cstheme="minorHAnsi"/>
          <w:szCs w:val="24"/>
        </w:rPr>
        <w:t xml:space="preserve">. No obstante se ha comprobado en la </w:t>
      </w:r>
      <w:r w:rsidR="00BF5291" w:rsidRPr="00BF5291">
        <w:rPr>
          <w:rFonts w:asciiTheme="minorHAnsi" w:hAnsiTheme="minorHAnsi" w:cstheme="minorHAnsi"/>
          <w:szCs w:val="24"/>
        </w:rPr>
        <w:t>PCSP</w:t>
      </w:r>
      <w:r>
        <w:rPr>
          <w:rFonts w:asciiTheme="minorHAnsi" w:hAnsiTheme="minorHAnsi" w:cstheme="minorHAnsi"/>
          <w:szCs w:val="24"/>
        </w:rPr>
        <w:t xml:space="preserve"> que tanto la adscripción de los organismos que motivaban la observación efectuada por este Consejo como la denominación de los Ministerios </w:t>
      </w:r>
      <w:proofErr w:type="gramStart"/>
      <w:r>
        <w:rPr>
          <w:rFonts w:asciiTheme="minorHAnsi" w:hAnsiTheme="minorHAnsi" w:cstheme="minorHAnsi"/>
          <w:szCs w:val="24"/>
        </w:rPr>
        <w:t>es</w:t>
      </w:r>
      <w:proofErr w:type="gramEnd"/>
      <w:r>
        <w:rPr>
          <w:rFonts w:asciiTheme="minorHAnsi" w:hAnsiTheme="minorHAnsi" w:cstheme="minorHAnsi"/>
          <w:szCs w:val="24"/>
        </w:rPr>
        <w:t xml:space="preserve"> correcta, lo que no ocurre en las fichas-resumen publicadas. Por esta razón, no es posible aceptar </w:t>
      </w:r>
      <w:r w:rsidR="00FA6AF8">
        <w:rPr>
          <w:rFonts w:asciiTheme="minorHAnsi" w:hAnsiTheme="minorHAnsi" w:cstheme="minorHAnsi"/>
          <w:szCs w:val="24"/>
        </w:rPr>
        <w:t xml:space="preserve">la observación aunque por parte de este CTBG se valora positivamente que se vaya a efectuar una revisión de las denominaciones que aparecen en las fichas-resumen. </w:t>
      </w:r>
    </w:p>
    <w:p w:rsidR="00FA6AF8" w:rsidRDefault="00FA6AF8" w:rsidP="00BC4E68">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lastRenderedPageBreak/>
        <w:t xml:space="preserve">Por lo que respecta a las modificaciones de contratos se alega que esta información no se proporciona por parte de la </w:t>
      </w:r>
      <w:r w:rsidR="00BF5291" w:rsidRPr="00BF5291">
        <w:rPr>
          <w:rFonts w:asciiTheme="minorHAnsi" w:hAnsiTheme="minorHAnsi" w:cstheme="minorHAnsi"/>
          <w:szCs w:val="24"/>
        </w:rPr>
        <w:t>PCSP</w:t>
      </w:r>
      <w:r>
        <w:rPr>
          <w:rFonts w:asciiTheme="minorHAnsi" w:hAnsiTheme="minorHAnsi" w:cstheme="minorHAnsi"/>
          <w:szCs w:val="24"/>
        </w:rPr>
        <w:t>. E</w:t>
      </w:r>
      <w:r w:rsidR="00BF5291">
        <w:rPr>
          <w:rFonts w:asciiTheme="minorHAnsi" w:hAnsiTheme="minorHAnsi" w:cstheme="minorHAnsi"/>
          <w:szCs w:val="24"/>
        </w:rPr>
        <w:t xml:space="preserve">ste Consejo viene señalando los problemas derivados de utilizar fuentes centralizadas destinadas a determinados usos para la publicación de informaciones sujetas a obligaciones de publicidad activa. Uno de los problemas es el que se señala en el informe de observaciones: la </w:t>
      </w:r>
      <w:r w:rsidR="00BF5291" w:rsidRPr="00BF5291">
        <w:rPr>
          <w:rFonts w:asciiTheme="minorHAnsi" w:hAnsiTheme="minorHAnsi" w:cstheme="minorHAnsi"/>
          <w:szCs w:val="24"/>
        </w:rPr>
        <w:t>PCSP</w:t>
      </w:r>
      <w:r w:rsidR="00BF5291">
        <w:rPr>
          <w:rFonts w:asciiTheme="minorHAnsi" w:hAnsiTheme="minorHAnsi" w:cstheme="minorHAnsi"/>
          <w:szCs w:val="24"/>
        </w:rPr>
        <w:t xml:space="preserve"> no incluye en sus criterios de búsqueda de licitaciones las modificaciones de contratos, lo que obliga a revisar licitación a licitación </w:t>
      </w:r>
      <w:r w:rsidR="008C2B46">
        <w:rPr>
          <w:rFonts w:asciiTheme="minorHAnsi" w:hAnsiTheme="minorHAnsi" w:cstheme="minorHAnsi"/>
          <w:szCs w:val="24"/>
        </w:rPr>
        <w:t xml:space="preserve">para conocer </w:t>
      </w:r>
      <w:r w:rsidR="00BF5291">
        <w:rPr>
          <w:rFonts w:asciiTheme="minorHAnsi" w:hAnsiTheme="minorHAnsi" w:cstheme="minorHAnsi"/>
          <w:szCs w:val="24"/>
        </w:rPr>
        <w:t>si es que en  alguna de ellas se ha dado esta circunstancia. Las modificaciones de contratos constituyen una obligación diferenciada dentro del grupo de obligaciones relativa a contratación, existiendo, en consecuencia, la obligación de publicar información en esta materia. Por esta razón no cabe aceptar la observación efectuada.</w:t>
      </w:r>
    </w:p>
    <w:p w:rsidR="009871C5" w:rsidRDefault="009871C5" w:rsidP="00BC4E68">
      <w:pPr>
        <w:tabs>
          <w:tab w:val="left" w:pos="284"/>
        </w:tabs>
        <w:spacing w:before="120" w:after="120" w:line="312" w:lineRule="auto"/>
        <w:jc w:val="both"/>
        <w:rPr>
          <w:rFonts w:asciiTheme="minorHAnsi" w:hAnsiTheme="minorHAnsi" w:cstheme="minorHAnsi"/>
          <w:szCs w:val="24"/>
        </w:rPr>
      </w:pPr>
      <w:r w:rsidRPr="009871C5">
        <w:rPr>
          <w:rFonts w:asciiTheme="minorHAnsi" w:hAnsiTheme="minorHAnsi" w:cstheme="minorHAnsi"/>
          <w:szCs w:val="24"/>
        </w:rPr>
        <w:t>En cuanto a los datos estadísticos sobre contratación</w:t>
      </w:r>
      <w:r>
        <w:rPr>
          <w:rFonts w:asciiTheme="minorHAnsi" w:hAnsiTheme="minorHAnsi" w:cstheme="minorHAnsi"/>
          <w:szCs w:val="24"/>
        </w:rPr>
        <w:t xml:space="preserve">, se acepta la observación efectuada y se revisa el cumplimiento de la obligación. </w:t>
      </w:r>
    </w:p>
    <w:p w:rsidR="009871C5" w:rsidRPr="009871C5" w:rsidRDefault="009871C5" w:rsidP="00BC4E68">
      <w:pPr>
        <w:tabs>
          <w:tab w:val="left" w:pos="284"/>
        </w:tabs>
        <w:spacing w:before="120" w:after="120" w:line="312" w:lineRule="auto"/>
        <w:jc w:val="both"/>
        <w:rPr>
          <w:rFonts w:asciiTheme="minorHAnsi" w:hAnsiTheme="minorHAnsi" w:cstheme="minorHAnsi"/>
          <w:b/>
          <w:szCs w:val="24"/>
        </w:rPr>
      </w:pPr>
      <w:r w:rsidRPr="009871C5">
        <w:rPr>
          <w:rFonts w:asciiTheme="minorHAnsi" w:hAnsiTheme="minorHAnsi" w:cstheme="minorHAnsi"/>
          <w:b/>
          <w:szCs w:val="24"/>
        </w:rPr>
        <w:t>2º Subvenciones</w:t>
      </w:r>
    </w:p>
    <w:p w:rsidR="009871C5" w:rsidRDefault="009871C5" w:rsidP="00BC4E68">
      <w:pPr>
        <w:tabs>
          <w:tab w:val="left" w:pos="284"/>
        </w:tabs>
        <w:spacing w:before="120" w:after="120" w:line="312" w:lineRule="auto"/>
        <w:jc w:val="both"/>
        <w:rPr>
          <w:rFonts w:asciiTheme="minorHAnsi" w:hAnsiTheme="minorHAnsi" w:cstheme="minorHAnsi"/>
          <w:szCs w:val="24"/>
        </w:rPr>
      </w:pPr>
      <w:r w:rsidRPr="009871C5">
        <w:rPr>
          <w:rFonts w:asciiTheme="minorHAnsi" w:hAnsiTheme="minorHAnsi" w:cstheme="minorHAnsi"/>
          <w:szCs w:val="24"/>
        </w:rPr>
        <w:t xml:space="preserve">Se modifica el informe </w:t>
      </w:r>
      <w:r>
        <w:rPr>
          <w:rFonts w:asciiTheme="minorHAnsi" w:hAnsiTheme="minorHAnsi" w:cstheme="minorHAnsi"/>
          <w:szCs w:val="24"/>
        </w:rPr>
        <w:t>en el sentido de incluir una referencia a que desde el apartado correspondiente a cada Ministerio se enlaza directamente a la información correspondiente a éste en la BDNS.</w:t>
      </w:r>
    </w:p>
    <w:p w:rsidR="009871C5" w:rsidRDefault="009871C5" w:rsidP="009871C5">
      <w:p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3</w:t>
      </w:r>
      <w:r w:rsidRPr="009871C5">
        <w:rPr>
          <w:rFonts w:asciiTheme="minorHAnsi" w:hAnsiTheme="minorHAnsi" w:cstheme="minorHAnsi"/>
          <w:b/>
          <w:szCs w:val="24"/>
        </w:rPr>
        <w:t xml:space="preserve">º </w:t>
      </w:r>
      <w:r>
        <w:rPr>
          <w:rFonts w:asciiTheme="minorHAnsi" w:hAnsiTheme="minorHAnsi" w:cstheme="minorHAnsi"/>
          <w:b/>
          <w:szCs w:val="24"/>
        </w:rPr>
        <w:t>Presupuestos</w:t>
      </w:r>
    </w:p>
    <w:p w:rsidR="009871C5" w:rsidRDefault="009871C5" w:rsidP="009871C5">
      <w:pPr>
        <w:tabs>
          <w:tab w:val="left" w:pos="284"/>
        </w:tabs>
        <w:spacing w:before="120" w:after="120" w:line="312" w:lineRule="auto"/>
        <w:jc w:val="both"/>
        <w:rPr>
          <w:rFonts w:asciiTheme="minorHAnsi" w:hAnsiTheme="minorHAnsi" w:cstheme="minorHAnsi"/>
          <w:szCs w:val="24"/>
        </w:rPr>
      </w:pPr>
      <w:r w:rsidRPr="009871C5">
        <w:rPr>
          <w:rFonts w:asciiTheme="minorHAnsi" w:hAnsiTheme="minorHAnsi" w:cstheme="minorHAnsi"/>
          <w:szCs w:val="24"/>
        </w:rPr>
        <w:t xml:space="preserve">Se modifica el informe </w:t>
      </w:r>
      <w:r>
        <w:rPr>
          <w:rFonts w:asciiTheme="minorHAnsi" w:hAnsiTheme="minorHAnsi" w:cstheme="minorHAnsi"/>
          <w:szCs w:val="24"/>
        </w:rPr>
        <w:t>eliminando la referencia al enlace que daba error en el momento de realizar la evaluación.</w:t>
      </w:r>
    </w:p>
    <w:p w:rsidR="009871C5" w:rsidRDefault="009871C5" w:rsidP="009871C5">
      <w:p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4</w:t>
      </w:r>
      <w:r w:rsidRPr="009871C5">
        <w:rPr>
          <w:rFonts w:asciiTheme="minorHAnsi" w:hAnsiTheme="minorHAnsi" w:cstheme="minorHAnsi"/>
          <w:b/>
          <w:szCs w:val="24"/>
        </w:rPr>
        <w:t xml:space="preserve">º </w:t>
      </w:r>
      <w:r>
        <w:rPr>
          <w:rFonts w:asciiTheme="minorHAnsi" w:hAnsiTheme="minorHAnsi" w:cstheme="minorHAnsi"/>
          <w:b/>
          <w:szCs w:val="24"/>
        </w:rPr>
        <w:t>Retribuciones de Altos Cargos.</w:t>
      </w:r>
    </w:p>
    <w:p w:rsidR="00130222" w:rsidRDefault="009871C5" w:rsidP="009871C5">
      <w:pPr>
        <w:tabs>
          <w:tab w:val="left" w:pos="284"/>
        </w:tabs>
        <w:spacing w:before="120" w:after="120" w:line="312" w:lineRule="auto"/>
        <w:jc w:val="both"/>
        <w:rPr>
          <w:rFonts w:asciiTheme="minorHAnsi" w:hAnsiTheme="minorHAnsi" w:cstheme="minorHAnsi"/>
          <w:szCs w:val="24"/>
        </w:rPr>
      </w:pPr>
      <w:r w:rsidRPr="009871C5">
        <w:rPr>
          <w:rFonts w:asciiTheme="minorHAnsi" w:hAnsiTheme="minorHAnsi" w:cstheme="minorHAnsi"/>
          <w:szCs w:val="24"/>
        </w:rPr>
        <w:t xml:space="preserve">Se </w:t>
      </w:r>
      <w:r>
        <w:rPr>
          <w:rFonts w:asciiTheme="minorHAnsi" w:hAnsiTheme="minorHAnsi" w:cstheme="minorHAnsi"/>
          <w:szCs w:val="24"/>
        </w:rPr>
        <w:t xml:space="preserve">modifica el informe y se reevalúa el cumplimiento de la obligación al haberse comprobado que la información está actualizada. En cualquier caso es preciso señalar que algunos de los </w:t>
      </w:r>
      <w:r w:rsidR="00130222">
        <w:rPr>
          <w:rFonts w:asciiTheme="minorHAnsi" w:hAnsiTheme="minorHAnsi" w:cstheme="minorHAnsi"/>
          <w:szCs w:val="24"/>
        </w:rPr>
        <w:t>enlaces,</w:t>
      </w:r>
      <w:r>
        <w:rPr>
          <w:rFonts w:asciiTheme="minorHAnsi" w:hAnsiTheme="minorHAnsi" w:cstheme="minorHAnsi"/>
          <w:szCs w:val="24"/>
        </w:rPr>
        <w:t xml:space="preserve"> por ejemplo</w:t>
      </w:r>
      <w:r w:rsidR="00130222">
        <w:rPr>
          <w:rFonts w:asciiTheme="minorHAnsi" w:hAnsiTheme="minorHAnsi" w:cstheme="minorHAnsi"/>
          <w:szCs w:val="24"/>
        </w:rPr>
        <w:t xml:space="preserve"> el del Ministerio de Inclusión, no estaban operativos en el momento de efectuar la revisión del cumplimiento de la obligación.</w:t>
      </w:r>
    </w:p>
    <w:p w:rsidR="009871C5" w:rsidRDefault="00130222" w:rsidP="009871C5">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b/>
          <w:szCs w:val="24"/>
        </w:rPr>
        <w:t>5</w:t>
      </w:r>
      <w:r w:rsidRPr="009871C5">
        <w:rPr>
          <w:rFonts w:asciiTheme="minorHAnsi" w:hAnsiTheme="minorHAnsi" w:cstheme="minorHAnsi"/>
          <w:b/>
          <w:szCs w:val="24"/>
        </w:rPr>
        <w:t xml:space="preserve">º </w:t>
      </w:r>
      <w:r>
        <w:rPr>
          <w:rFonts w:asciiTheme="minorHAnsi" w:hAnsiTheme="minorHAnsi" w:cstheme="minorHAnsi"/>
          <w:b/>
          <w:szCs w:val="24"/>
        </w:rPr>
        <w:t xml:space="preserve">Indemnizaciones percibidas por Altos </w:t>
      </w:r>
      <w:r w:rsidR="009871C5">
        <w:rPr>
          <w:rFonts w:asciiTheme="minorHAnsi" w:hAnsiTheme="minorHAnsi" w:cstheme="minorHAnsi"/>
          <w:szCs w:val="24"/>
        </w:rPr>
        <w:t xml:space="preserve"> </w:t>
      </w:r>
      <w:r w:rsidRPr="00130222">
        <w:rPr>
          <w:rFonts w:asciiTheme="minorHAnsi" w:hAnsiTheme="minorHAnsi" w:cstheme="minorHAnsi"/>
          <w:b/>
          <w:szCs w:val="24"/>
        </w:rPr>
        <w:t>Cargos con ocasión del cese</w:t>
      </w:r>
      <w:r>
        <w:rPr>
          <w:rFonts w:asciiTheme="minorHAnsi" w:hAnsiTheme="minorHAnsi" w:cstheme="minorHAnsi"/>
          <w:szCs w:val="24"/>
        </w:rPr>
        <w:t>.</w:t>
      </w:r>
    </w:p>
    <w:p w:rsidR="00130222" w:rsidRDefault="00130222" w:rsidP="009871C5">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Se revisa el cumplimiento del criterio de actualización de la información.</w:t>
      </w:r>
    </w:p>
    <w:p w:rsidR="004D246C" w:rsidRDefault="004D246C" w:rsidP="00563923">
      <w:pPr>
        <w:tabs>
          <w:tab w:val="left" w:pos="284"/>
        </w:tabs>
        <w:spacing w:before="120" w:after="120" w:line="312" w:lineRule="auto"/>
        <w:ind w:left="360"/>
        <w:jc w:val="both"/>
        <w:rPr>
          <w:rFonts w:asciiTheme="minorHAnsi" w:hAnsiTheme="minorHAnsi" w:cstheme="minorHAnsi"/>
          <w:b/>
          <w:color w:val="365F91" w:themeColor="accent1" w:themeShade="BF"/>
          <w:szCs w:val="24"/>
        </w:rPr>
      </w:pPr>
    </w:p>
    <w:p w:rsidR="008C2B46" w:rsidRDefault="008C2B46" w:rsidP="00563923">
      <w:pPr>
        <w:tabs>
          <w:tab w:val="left" w:pos="284"/>
        </w:tabs>
        <w:spacing w:before="120" w:after="120" w:line="312" w:lineRule="auto"/>
        <w:ind w:left="360"/>
        <w:jc w:val="both"/>
        <w:rPr>
          <w:rFonts w:asciiTheme="minorHAnsi" w:hAnsiTheme="minorHAnsi" w:cstheme="minorHAnsi"/>
          <w:b/>
          <w:color w:val="365F91" w:themeColor="accent1" w:themeShade="BF"/>
          <w:szCs w:val="24"/>
        </w:rPr>
      </w:pPr>
    </w:p>
    <w:p w:rsidR="008C2B46" w:rsidRDefault="008C2B46" w:rsidP="00563923">
      <w:pPr>
        <w:tabs>
          <w:tab w:val="left" w:pos="284"/>
        </w:tabs>
        <w:spacing w:before="120" w:after="120" w:line="312" w:lineRule="auto"/>
        <w:ind w:left="360"/>
        <w:jc w:val="both"/>
        <w:rPr>
          <w:rFonts w:asciiTheme="minorHAnsi" w:hAnsiTheme="minorHAnsi" w:cstheme="minorHAnsi"/>
          <w:b/>
          <w:color w:val="365F91" w:themeColor="accent1" w:themeShade="BF"/>
          <w:szCs w:val="24"/>
        </w:rPr>
      </w:pPr>
    </w:p>
    <w:p w:rsidR="00E851A5" w:rsidRPr="008C2B46" w:rsidRDefault="00E851A5" w:rsidP="00BC4E68">
      <w:pPr>
        <w:pStyle w:val="Prrafodelista"/>
        <w:spacing w:before="120" w:after="120" w:line="312" w:lineRule="auto"/>
        <w:ind w:left="0"/>
        <w:contextualSpacing w:val="0"/>
        <w:jc w:val="both"/>
        <w:rPr>
          <w:rFonts w:asciiTheme="minorHAnsi" w:hAnsiTheme="minorHAnsi" w:cstheme="minorHAnsi"/>
          <w:b/>
          <w:color w:val="00B050"/>
          <w:sz w:val="24"/>
          <w:szCs w:val="24"/>
        </w:rPr>
      </w:pPr>
      <w:r w:rsidRPr="008C2B46">
        <w:rPr>
          <w:rFonts w:asciiTheme="minorHAnsi" w:hAnsiTheme="minorHAnsi" w:cstheme="minorHAnsi"/>
          <w:b/>
          <w:color w:val="00B050"/>
          <w:sz w:val="24"/>
          <w:szCs w:val="24"/>
        </w:rPr>
        <w:lastRenderedPageBreak/>
        <w:t>Indicador de Cumplimiento Información Obligatoria tras la revisión</w:t>
      </w:r>
    </w:p>
    <w:p w:rsidR="00D44E9D" w:rsidRDefault="00D44E9D" w:rsidP="00BC4E68">
      <w:pPr>
        <w:spacing w:before="120" w:after="120" w:line="312" w:lineRule="auto"/>
        <w:jc w:val="both"/>
        <w:rPr>
          <w:rFonts w:asciiTheme="minorHAnsi" w:hAnsiTheme="minorHAnsi" w:cstheme="minorHAnsi"/>
          <w:szCs w:val="24"/>
        </w:rPr>
      </w:pPr>
      <w:r w:rsidRPr="00563923">
        <w:rPr>
          <w:rFonts w:asciiTheme="minorHAnsi" w:hAnsiTheme="minorHAnsi" w:cstheme="minorHAnsi"/>
          <w:szCs w:val="24"/>
        </w:rPr>
        <w:t xml:space="preserve">Tras la revisión efectuada por parte de este Consejo, el Indicador de Cumplimiento Información Obligatoria correspondiente </w:t>
      </w:r>
      <w:r w:rsidR="00780DF9" w:rsidRPr="00563923">
        <w:rPr>
          <w:rFonts w:asciiTheme="minorHAnsi" w:hAnsiTheme="minorHAnsi" w:cstheme="minorHAnsi"/>
          <w:szCs w:val="24"/>
        </w:rPr>
        <w:t>a</w:t>
      </w:r>
      <w:r w:rsidR="00210111" w:rsidRPr="00563923">
        <w:rPr>
          <w:rFonts w:asciiTheme="minorHAnsi" w:hAnsiTheme="minorHAnsi" w:cstheme="minorHAnsi"/>
          <w:szCs w:val="24"/>
        </w:rPr>
        <w:t>l Portal de la Transparencia de la AGE</w:t>
      </w:r>
      <w:r w:rsidR="004D246C">
        <w:rPr>
          <w:rFonts w:asciiTheme="minorHAnsi" w:hAnsiTheme="minorHAnsi" w:cstheme="minorHAnsi"/>
          <w:szCs w:val="24"/>
        </w:rPr>
        <w:t xml:space="preserve"> </w:t>
      </w:r>
      <w:r w:rsidRPr="00563923">
        <w:rPr>
          <w:rFonts w:asciiTheme="minorHAnsi" w:hAnsiTheme="minorHAnsi" w:cstheme="minorHAnsi"/>
          <w:szCs w:val="24"/>
        </w:rPr>
        <w:t xml:space="preserve">se sitúa en el </w:t>
      </w:r>
      <w:r w:rsidR="009B5024" w:rsidRPr="009B5024">
        <w:rPr>
          <w:rFonts w:asciiTheme="minorHAnsi" w:hAnsiTheme="minorHAnsi" w:cstheme="minorHAnsi"/>
          <w:szCs w:val="24"/>
        </w:rPr>
        <w:t>72,9</w:t>
      </w:r>
      <w:r w:rsidRPr="00563923">
        <w:rPr>
          <w:rFonts w:asciiTheme="minorHAnsi" w:hAnsiTheme="minorHAnsi" w:cstheme="minorHAnsi"/>
          <w:szCs w:val="24"/>
        </w:rPr>
        <w:t>%.</w:t>
      </w:r>
    </w:p>
    <w:p w:rsidR="009B5024" w:rsidRDefault="009B5024" w:rsidP="00BC4E68">
      <w:pPr>
        <w:spacing w:before="120" w:after="120" w:line="312" w:lineRule="auto"/>
        <w:jc w:val="both"/>
        <w:rPr>
          <w:rFonts w:asciiTheme="minorHAnsi" w:hAnsiTheme="minorHAnsi" w:cstheme="minorHAnsi"/>
          <w:szCs w:val="24"/>
        </w:rPr>
      </w:pPr>
    </w:p>
    <w:p w:rsidR="009B5024" w:rsidRPr="00563923" w:rsidRDefault="009B5024" w:rsidP="009B5024">
      <w:pPr>
        <w:pStyle w:val="Prrafodelista"/>
        <w:spacing w:before="120" w:after="120" w:line="312" w:lineRule="auto"/>
        <w:ind w:left="0"/>
        <w:contextualSpacing w:val="0"/>
        <w:jc w:val="both"/>
        <w:rPr>
          <w:rFonts w:asciiTheme="minorHAnsi" w:hAnsiTheme="minorHAnsi" w:cstheme="minorHAnsi"/>
          <w:sz w:val="24"/>
          <w:szCs w:val="24"/>
        </w:rPr>
      </w:pPr>
      <w:r w:rsidRPr="00563923">
        <w:rPr>
          <w:rFonts w:asciiTheme="minorHAnsi" w:hAnsiTheme="minorHAnsi" w:cstheme="minorHAnsi"/>
          <w:sz w:val="24"/>
          <w:szCs w:val="24"/>
        </w:rPr>
        <w:t xml:space="preserve">Este Consejo valora muy positivamente la </w:t>
      </w:r>
      <w:r w:rsidR="000E1EA9">
        <w:rPr>
          <w:rFonts w:asciiTheme="minorHAnsi" w:hAnsiTheme="minorHAnsi" w:cstheme="minorHAnsi"/>
          <w:sz w:val="24"/>
          <w:szCs w:val="24"/>
        </w:rPr>
        <w:t>disposición</w:t>
      </w:r>
      <w:r>
        <w:rPr>
          <w:rFonts w:asciiTheme="minorHAnsi" w:hAnsiTheme="minorHAnsi" w:cstheme="minorHAnsi"/>
          <w:sz w:val="24"/>
          <w:szCs w:val="24"/>
        </w:rPr>
        <w:t xml:space="preserve"> de los responsables del Portal de Transparencia de la AGE a</w:t>
      </w:r>
      <w:r w:rsidRPr="00563923">
        <w:rPr>
          <w:rFonts w:asciiTheme="minorHAnsi" w:hAnsiTheme="minorHAnsi" w:cstheme="minorHAnsi"/>
          <w:sz w:val="24"/>
          <w:szCs w:val="24"/>
        </w:rPr>
        <w:t xml:space="preserve"> aplica</w:t>
      </w:r>
      <w:r>
        <w:rPr>
          <w:rFonts w:asciiTheme="minorHAnsi" w:hAnsiTheme="minorHAnsi" w:cstheme="minorHAnsi"/>
          <w:sz w:val="24"/>
          <w:szCs w:val="24"/>
        </w:rPr>
        <w:t>r</w:t>
      </w:r>
      <w:r w:rsidRPr="00563923">
        <w:rPr>
          <w:rFonts w:asciiTheme="minorHAnsi" w:hAnsiTheme="minorHAnsi" w:cstheme="minorHAnsi"/>
          <w:sz w:val="24"/>
          <w:szCs w:val="24"/>
        </w:rPr>
        <w:t xml:space="preserve"> las recomendaciones </w:t>
      </w:r>
      <w:r>
        <w:rPr>
          <w:rFonts w:asciiTheme="minorHAnsi" w:hAnsiTheme="minorHAnsi" w:cstheme="minorHAnsi"/>
          <w:sz w:val="24"/>
          <w:szCs w:val="24"/>
        </w:rPr>
        <w:t>derivadas de la evaluación</w:t>
      </w:r>
      <w:r w:rsidRPr="00563923">
        <w:rPr>
          <w:rFonts w:asciiTheme="minorHAnsi" w:hAnsiTheme="minorHAnsi" w:cstheme="minorHAnsi"/>
          <w:sz w:val="24"/>
          <w:szCs w:val="24"/>
        </w:rPr>
        <w:t xml:space="preserve">. Este Consejo es consciente de la dificultad que entraña acometer una revisión del Portal de la Transparencia de la AGE con el fin de incorporar todas las recomendaciones efectuadas, dado el ingente número de información y de actores implicados, que exigen un alto nivel de cooperación y consenso. </w:t>
      </w:r>
      <w:r>
        <w:rPr>
          <w:rFonts w:asciiTheme="minorHAnsi" w:hAnsiTheme="minorHAnsi" w:cstheme="minorHAnsi"/>
          <w:sz w:val="24"/>
          <w:szCs w:val="24"/>
        </w:rPr>
        <w:t xml:space="preserve">Ello sin duda redundará en un mayor grado de cumplimiento cuando en </w:t>
      </w:r>
      <w:r w:rsidRPr="00563923">
        <w:rPr>
          <w:rFonts w:asciiTheme="minorHAnsi" w:hAnsiTheme="minorHAnsi" w:cstheme="minorHAnsi"/>
          <w:sz w:val="24"/>
          <w:szCs w:val="24"/>
        </w:rPr>
        <w:t>2022 se efectúe por parte</w:t>
      </w:r>
      <w:bookmarkStart w:id="1" w:name="_GoBack"/>
      <w:bookmarkEnd w:id="1"/>
      <w:r w:rsidRPr="00563923">
        <w:rPr>
          <w:rFonts w:asciiTheme="minorHAnsi" w:hAnsiTheme="minorHAnsi" w:cstheme="minorHAnsi"/>
          <w:sz w:val="24"/>
          <w:szCs w:val="24"/>
        </w:rPr>
        <w:t xml:space="preserve"> de este Consejo un seguimiento de la aplicación de las recomendaciones efectuadas.</w:t>
      </w:r>
    </w:p>
    <w:p w:rsidR="009B5024" w:rsidRDefault="009B5024" w:rsidP="00BC4E68">
      <w:pPr>
        <w:spacing w:before="120" w:after="120" w:line="312" w:lineRule="auto"/>
        <w:jc w:val="both"/>
        <w:rPr>
          <w:rFonts w:asciiTheme="minorHAnsi" w:hAnsiTheme="minorHAnsi" w:cstheme="minorHAnsi"/>
          <w:szCs w:val="24"/>
        </w:rPr>
      </w:pPr>
    </w:p>
    <w:p w:rsidR="009B5024" w:rsidRPr="00563923" w:rsidRDefault="009B5024" w:rsidP="00BC4E68">
      <w:pPr>
        <w:spacing w:before="120" w:after="120" w:line="312" w:lineRule="auto"/>
        <w:jc w:val="both"/>
        <w:rPr>
          <w:rFonts w:asciiTheme="minorHAnsi" w:hAnsiTheme="minorHAnsi" w:cstheme="minorHAnsi"/>
          <w:szCs w:val="24"/>
        </w:rPr>
      </w:pPr>
    </w:p>
    <w:p w:rsidR="00F17B00" w:rsidRDefault="00F17B00" w:rsidP="00F17B00">
      <w:pPr>
        <w:pStyle w:val="Prrafodelista"/>
        <w:tabs>
          <w:tab w:val="left" w:pos="284"/>
        </w:tabs>
        <w:spacing w:before="120" w:after="120" w:line="312" w:lineRule="auto"/>
        <w:jc w:val="both"/>
        <w:rPr>
          <w:rFonts w:asciiTheme="minorHAnsi" w:hAnsiTheme="minorHAnsi" w:cstheme="minorHAnsi"/>
          <w:szCs w:val="24"/>
        </w:rPr>
      </w:pPr>
    </w:p>
    <w:p w:rsidR="0045134F" w:rsidRPr="00855ECA" w:rsidRDefault="008C2B46" w:rsidP="00E851A5">
      <w:pPr>
        <w:pStyle w:val="Prrafodelista"/>
        <w:tabs>
          <w:tab w:val="left" w:pos="284"/>
        </w:tabs>
        <w:spacing w:before="120" w:after="120" w:line="312" w:lineRule="auto"/>
        <w:jc w:val="right"/>
        <w:rPr>
          <w:rFonts w:asciiTheme="minorHAnsi" w:hAnsiTheme="minorHAnsi" w:cstheme="minorHAnsi"/>
          <w:szCs w:val="24"/>
        </w:rPr>
      </w:pPr>
      <w:r>
        <w:rPr>
          <w:rFonts w:asciiTheme="minorHAnsi" w:hAnsiTheme="minorHAnsi" w:cstheme="minorHAnsi"/>
          <w:szCs w:val="24"/>
        </w:rPr>
        <w:t>Madrid, j</w:t>
      </w:r>
      <w:r w:rsidR="00E851A5">
        <w:rPr>
          <w:rFonts w:asciiTheme="minorHAnsi" w:hAnsiTheme="minorHAnsi" w:cstheme="minorHAnsi"/>
          <w:szCs w:val="24"/>
        </w:rPr>
        <w:t>ulio</w:t>
      </w:r>
      <w:r>
        <w:rPr>
          <w:rFonts w:asciiTheme="minorHAnsi" w:hAnsiTheme="minorHAnsi" w:cstheme="minorHAnsi"/>
          <w:szCs w:val="24"/>
        </w:rPr>
        <w:t xml:space="preserve"> de </w:t>
      </w:r>
      <w:r w:rsidR="00E851A5">
        <w:rPr>
          <w:rFonts w:asciiTheme="minorHAnsi" w:hAnsiTheme="minorHAnsi" w:cstheme="minorHAnsi"/>
          <w:szCs w:val="24"/>
        </w:rPr>
        <w:t>2021</w:t>
      </w:r>
    </w:p>
    <w:sectPr w:rsidR="0045134F" w:rsidRPr="00855ECA" w:rsidSect="002F4D5B">
      <w:headerReference w:type="default" r:id="rId9"/>
      <w:footerReference w:type="default" r:id="rId10"/>
      <w:headerReference w:type="first" r:id="rId11"/>
      <w:pgSz w:w="11906" w:h="16838" w:code="9"/>
      <w:pgMar w:top="2242" w:right="1134" w:bottom="184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1C5" w:rsidRDefault="009871C5" w:rsidP="00344FE7">
      <w:pPr>
        <w:spacing w:after="0" w:line="240" w:lineRule="auto"/>
      </w:pPr>
      <w:r>
        <w:separator/>
      </w:r>
    </w:p>
  </w:endnote>
  <w:endnote w:type="continuationSeparator" w:id="0">
    <w:p w:rsidR="009871C5" w:rsidRDefault="009871C5"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9871C5" w:rsidRPr="00C23F36" w:rsidRDefault="009871C5"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8C2B46">
          <w:rPr>
            <w:noProof/>
            <w:sz w:val="20"/>
            <w:szCs w:val="20"/>
          </w:rPr>
          <w:t>6</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1C5" w:rsidRDefault="009871C5" w:rsidP="00344FE7">
      <w:pPr>
        <w:spacing w:after="0" w:line="240" w:lineRule="auto"/>
      </w:pPr>
      <w:r>
        <w:separator/>
      </w:r>
    </w:p>
  </w:footnote>
  <w:footnote w:type="continuationSeparator" w:id="0">
    <w:p w:rsidR="009871C5" w:rsidRDefault="009871C5"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C5" w:rsidRDefault="009871C5" w:rsidP="00344FE7">
    <w:pPr>
      <w:pStyle w:val="Encabezado"/>
    </w:pPr>
    <w:r>
      <w:rPr>
        <w:noProof/>
        <w:lang w:eastAsia="es-ES"/>
      </w:rPr>
      <w:drawing>
        <wp:anchor distT="0" distB="0" distL="0" distR="0" simplePos="0" relativeHeight="251670528" behindDoc="0" locked="0" layoutInCell="1" allowOverlap="0" wp14:anchorId="3BB0E487" wp14:editId="0C3BE06B">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C5" w:rsidRDefault="009871C5" w:rsidP="006F5890">
    <w:pPr>
      <w:jc w:val="right"/>
      <w:rPr>
        <w:noProof/>
        <w:lang w:eastAsia="es-ES"/>
      </w:rPr>
    </w:pPr>
    <w:r>
      <w:rPr>
        <w:noProof/>
        <w:lang w:eastAsia="es-ES"/>
      </w:rPr>
      <w:drawing>
        <wp:anchor distT="0" distB="0" distL="0" distR="0" simplePos="0" relativeHeight="251668480" behindDoc="0" locked="0" layoutInCell="1" allowOverlap="0" wp14:anchorId="701D2662" wp14:editId="295682AD">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76DFF119" wp14:editId="08314C8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7C676F"/>
    <w:multiLevelType w:val="hybridMultilevel"/>
    <w:tmpl w:val="C6B826F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9CF45AD"/>
    <w:multiLevelType w:val="hybridMultilevel"/>
    <w:tmpl w:val="834A37E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41EC4D92"/>
    <w:multiLevelType w:val="hybridMultilevel"/>
    <w:tmpl w:val="5F3876E2"/>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430B5118"/>
    <w:multiLevelType w:val="hybridMultilevel"/>
    <w:tmpl w:val="BBBE154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95D3CC7"/>
    <w:multiLevelType w:val="hybridMultilevel"/>
    <w:tmpl w:val="4680218E"/>
    <w:lvl w:ilvl="0" w:tplc="0C0A0005">
      <w:start w:val="1"/>
      <w:numFmt w:val="bullet"/>
      <w:lvlText w:val=""/>
      <w:lvlJc w:val="left"/>
      <w:pPr>
        <w:ind w:left="1778" w:hanging="360"/>
      </w:pPr>
      <w:rPr>
        <w:rFonts w:ascii="Wingdings" w:hAnsi="Wingdings"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2">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5FF7555E"/>
    <w:multiLevelType w:val="hybridMultilevel"/>
    <w:tmpl w:val="59847D26"/>
    <w:lvl w:ilvl="0" w:tplc="BE98590E">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2510F35"/>
    <w:multiLevelType w:val="hybridMultilevel"/>
    <w:tmpl w:val="FDF685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6">
    <w:nsid w:val="71F17DC0"/>
    <w:multiLevelType w:val="hybridMultilevel"/>
    <w:tmpl w:val="E93AEA8C"/>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FE13715"/>
    <w:multiLevelType w:val="hybridMultilevel"/>
    <w:tmpl w:val="CAC0CF0A"/>
    <w:lvl w:ilvl="0" w:tplc="BE98590E">
      <w:start w:val="1"/>
      <w:numFmt w:val="ordin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6"/>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0"/>
  </w:num>
  <w:num w:numId="11">
    <w:abstractNumId w:val="17"/>
  </w:num>
  <w:num w:numId="12">
    <w:abstractNumId w:val="14"/>
  </w:num>
  <w:num w:numId="13">
    <w:abstractNumId w:val="4"/>
  </w:num>
  <w:num w:numId="14">
    <w:abstractNumId w:val="11"/>
  </w:num>
  <w:num w:numId="15">
    <w:abstractNumId w:val="10"/>
  </w:num>
  <w:num w:numId="16">
    <w:abstractNumId w:val="18"/>
  </w:num>
  <w:num w:numId="17">
    <w:abstractNumId w:val="13"/>
  </w:num>
  <w:num w:numId="18">
    <w:abstractNumId w:val="9"/>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340C6"/>
    <w:rsid w:val="00036A5D"/>
    <w:rsid w:val="00074030"/>
    <w:rsid w:val="00096C86"/>
    <w:rsid w:val="000E1EA9"/>
    <w:rsid w:val="001257F9"/>
    <w:rsid w:val="00130222"/>
    <w:rsid w:val="0014196C"/>
    <w:rsid w:val="001472B9"/>
    <w:rsid w:val="001620F0"/>
    <w:rsid w:val="001750A8"/>
    <w:rsid w:val="00175D6C"/>
    <w:rsid w:val="0018324C"/>
    <w:rsid w:val="00194E05"/>
    <w:rsid w:val="001B16D9"/>
    <w:rsid w:val="001C214A"/>
    <w:rsid w:val="001E44BC"/>
    <w:rsid w:val="00210111"/>
    <w:rsid w:val="00235A40"/>
    <w:rsid w:val="00245DFC"/>
    <w:rsid w:val="00251194"/>
    <w:rsid w:val="00292806"/>
    <w:rsid w:val="002A4771"/>
    <w:rsid w:val="002C000A"/>
    <w:rsid w:val="002F4D5B"/>
    <w:rsid w:val="002F5D0B"/>
    <w:rsid w:val="002F7779"/>
    <w:rsid w:val="003259B9"/>
    <w:rsid w:val="00344FE7"/>
    <w:rsid w:val="00351475"/>
    <w:rsid w:val="003656B1"/>
    <w:rsid w:val="003B5DE7"/>
    <w:rsid w:val="003D0DAF"/>
    <w:rsid w:val="003F0972"/>
    <w:rsid w:val="003F38BD"/>
    <w:rsid w:val="004108BB"/>
    <w:rsid w:val="00440C9A"/>
    <w:rsid w:val="0045134F"/>
    <w:rsid w:val="004B15B8"/>
    <w:rsid w:val="004D246C"/>
    <w:rsid w:val="004D4EF1"/>
    <w:rsid w:val="00563923"/>
    <w:rsid w:val="005B1C12"/>
    <w:rsid w:val="005E3D42"/>
    <w:rsid w:val="00614890"/>
    <w:rsid w:val="0065796D"/>
    <w:rsid w:val="00665BA1"/>
    <w:rsid w:val="006C0214"/>
    <w:rsid w:val="006D4BF3"/>
    <w:rsid w:val="006F17B5"/>
    <w:rsid w:val="006F5890"/>
    <w:rsid w:val="0071472F"/>
    <w:rsid w:val="007342F2"/>
    <w:rsid w:val="00780DF9"/>
    <w:rsid w:val="007A53A8"/>
    <w:rsid w:val="007A662D"/>
    <w:rsid w:val="007B7237"/>
    <w:rsid w:val="007C00E5"/>
    <w:rsid w:val="007C0642"/>
    <w:rsid w:val="007C1C6F"/>
    <w:rsid w:val="007D24E2"/>
    <w:rsid w:val="007E1F93"/>
    <w:rsid w:val="00815DA2"/>
    <w:rsid w:val="00816D4F"/>
    <w:rsid w:val="00855ECA"/>
    <w:rsid w:val="00856637"/>
    <w:rsid w:val="00862FB0"/>
    <w:rsid w:val="0089717A"/>
    <w:rsid w:val="008B79BD"/>
    <w:rsid w:val="008C2B46"/>
    <w:rsid w:val="00901F1F"/>
    <w:rsid w:val="009029E0"/>
    <w:rsid w:val="009557B1"/>
    <w:rsid w:val="00983811"/>
    <w:rsid w:val="009871C5"/>
    <w:rsid w:val="00987B3A"/>
    <w:rsid w:val="009B5024"/>
    <w:rsid w:val="009B5E4A"/>
    <w:rsid w:val="009B7ADA"/>
    <w:rsid w:val="009D2560"/>
    <w:rsid w:val="009D6677"/>
    <w:rsid w:val="009E16B5"/>
    <w:rsid w:val="009E30AA"/>
    <w:rsid w:val="00A24192"/>
    <w:rsid w:val="00A26523"/>
    <w:rsid w:val="00A603C7"/>
    <w:rsid w:val="00A62936"/>
    <w:rsid w:val="00A64FC8"/>
    <w:rsid w:val="00AE5BF4"/>
    <w:rsid w:val="00B065F8"/>
    <w:rsid w:val="00B20ABA"/>
    <w:rsid w:val="00B2640A"/>
    <w:rsid w:val="00B2797F"/>
    <w:rsid w:val="00B31F84"/>
    <w:rsid w:val="00B35A53"/>
    <w:rsid w:val="00B5520E"/>
    <w:rsid w:val="00B75881"/>
    <w:rsid w:val="00B81EE6"/>
    <w:rsid w:val="00BC4E68"/>
    <w:rsid w:val="00BC5ADA"/>
    <w:rsid w:val="00BC7A82"/>
    <w:rsid w:val="00BF5291"/>
    <w:rsid w:val="00BF5B9B"/>
    <w:rsid w:val="00C01613"/>
    <w:rsid w:val="00C0201F"/>
    <w:rsid w:val="00C05003"/>
    <w:rsid w:val="00C119CE"/>
    <w:rsid w:val="00C23F36"/>
    <w:rsid w:val="00C305B6"/>
    <w:rsid w:val="00C3135F"/>
    <w:rsid w:val="00C736B9"/>
    <w:rsid w:val="00C82AB2"/>
    <w:rsid w:val="00C87BC3"/>
    <w:rsid w:val="00C94C61"/>
    <w:rsid w:val="00CD5AC3"/>
    <w:rsid w:val="00CF0704"/>
    <w:rsid w:val="00D23111"/>
    <w:rsid w:val="00D445A4"/>
    <w:rsid w:val="00D44E9D"/>
    <w:rsid w:val="00D72EF9"/>
    <w:rsid w:val="00DB21EC"/>
    <w:rsid w:val="00DB2CB4"/>
    <w:rsid w:val="00DB2CCC"/>
    <w:rsid w:val="00DC20E5"/>
    <w:rsid w:val="00DD07B5"/>
    <w:rsid w:val="00DD0A24"/>
    <w:rsid w:val="00DF5982"/>
    <w:rsid w:val="00E03C82"/>
    <w:rsid w:val="00E30C4E"/>
    <w:rsid w:val="00E35741"/>
    <w:rsid w:val="00E4386D"/>
    <w:rsid w:val="00E5135F"/>
    <w:rsid w:val="00E64F85"/>
    <w:rsid w:val="00E851A5"/>
    <w:rsid w:val="00E90B21"/>
    <w:rsid w:val="00EB7058"/>
    <w:rsid w:val="00EC3AAE"/>
    <w:rsid w:val="00ED6FD3"/>
    <w:rsid w:val="00EF5F68"/>
    <w:rsid w:val="00F14500"/>
    <w:rsid w:val="00F17B00"/>
    <w:rsid w:val="00F5121D"/>
    <w:rsid w:val="00F777C2"/>
    <w:rsid w:val="00F80E8A"/>
    <w:rsid w:val="00F85353"/>
    <w:rsid w:val="00FA6A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1C5"/>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65B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65B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B5520E"/>
    <w:rPr>
      <w:sz w:val="16"/>
      <w:szCs w:val="16"/>
    </w:rPr>
  </w:style>
  <w:style w:type="paragraph" w:styleId="Textocomentario">
    <w:name w:val="annotation text"/>
    <w:basedOn w:val="Normal"/>
    <w:link w:val="TextocomentarioCar"/>
    <w:uiPriority w:val="99"/>
    <w:semiHidden/>
    <w:unhideWhenUsed/>
    <w:rsid w:val="00B5520E"/>
    <w:pPr>
      <w:spacing w:line="240" w:lineRule="auto"/>
      <w:jc w:val="both"/>
    </w:pPr>
    <w:rPr>
      <w:rFonts w:asciiTheme="minorHAnsi" w:eastAsiaTheme="minorEastAsia" w:hAnsiTheme="minorHAnsi"/>
      <w:sz w:val="20"/>
      <w:szCs w:val="20"/>
      <w:lang w:eastAsia="es-ES"/>
    </w:rPr>
  </w:style>
  <w:style w:type="character" w:customStyle="1" w:styleId="TextocomentarioCar">
    <w:name w:val="Texto comentario Car"/>
    <w:basedOn w:val="Fuentedeprrafopredeter"/>
    <w:link w:val="Textocomentario"/>
    <w:uiPriority w:val="99"/>
    <w:semiHidden/>
    <w:rsid w:val="00B5520E"/>
    <w:rPr>
      <w:rFonts w:asciiTheme="minorHAnsi" w:eastAsiaTheme="minorEastAsia" w:hAnsiTheme="minorHAnsi"/>
      <w:sz w:val="20"/>
      <w:szCs w:val="20"/>
      <w:lang w:eastAsia="es-ES"/>
    </w:rPr>
  </w:style>
  <w:style w:type="character" w:customStyle="1" w:styleId="Ttulo2Car">
    <w:name w:val="Título 2 Car"/>
    <w:basedOn w:val="Fuentedeprrafopredeter"/>
    <w:link w:val="Ttulo2"/>
    <w:uiPriority w:val="9"/>
    <w:rsid w:val="00665BA1"/>
    <w:rPr>
      <w:rFonts w:asciiTheme="majorHAnsi" w:eastAsiaTheme="majorEastAsia" w:hAnsiTheme="majorHAnsi" w:cstheme="majorBidi"/>
      <w:b/>
      <w:bCs/>
      <w:color w:val="4F81BD" w:themeColor="accent1"/>
      <w:sz w:val="26"/>
      <w:szCs w:val="26"/>
    </w:rPr>
  </w:style>
  <w:style w:type="paragraph" w:customStyle="1" w:styleId="Cuerpodelboletn">
    <w:name w:val="Cuerpo del boletín"/>
    <w:basedOn w:val="Normal"/>
    <w:qFormat/>
    <w:rsid w:val="00665BA1"/>
    <w:pPr>
      <w:spacing w:line="240" w:lineRule="auto"/>
      <w:jc w:val="both"/>
    </w:pPr>
    <w:rPr>
      <w:rFonts w:ascii="Century Gothic" w:eastAsiaTheme="minorEastAsia" w:hAnsi="Century Gothic"/>
      <w:color w:val="000000"/>
      <w:sz w:val="22"/>
      <w:szCs w:val="24"/>
      <w:lang w:eastAsia="es-ES"/>
    </w:rPr>
  </w:style>
  <w:style w:type="character" w:customStyle="1" w:styleId="Ttulo3Car">
    <w:name w:val="Título 3 Car"/>
    <w:basedOn w:val="Fuentedeprrafopredeter"/>
    <w:link w:val="Ttulo3"/>
    <w:uiPriority w:val="9"/>
    <w:rsid w:val="00665BA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1C5"/>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65B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65B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B5520E"/>
    <w:rPr>
      <w:sz w:val="16"/>
      <w:szCs w:val="16"/>
    </w:rPr>
  </w:style>
  <w:style w:type="paragraph" w:styleId="Textocomentario">
    <w:name w:val="annotation text"/>
    <w:basedOn w:val="Normal"/>
    <w:link w:val="TextocomentarioCar"/>
    <w:uiPriority w:val="99"/>
    <w:semiHidden/>
    <w:unhideWhenUsed/>
    <w:rsid w:val="00B5520E"/>
    <w:pPr>
      <w:spacing w:line="240" w:lineRule="auto"/>
      <w:jc w:val="both"/>
    </w:pPr>
    <w:rPr>
      <w:rFonts w:asciiTheme="minorHAnsi" w:eastAsiaTheme="minorEastAsia" w:hAnsiTheme="minorHAnsi"/>
      <w:sz w:val="20"/>
      <w:szCs w:val="20"/>
      <w:lang w:eastAsia="es-ES"/>
    </w:rPr>
  </w:style>
  <w:style w:type="character" w:customStyle="1" w:styleId="TextocomentarioCar">
    <w:name w:val="Texto comentario Car"/>
    <w:basedOn w:val="Fuentedeprrafopredeter"/>
    <w:link w:val="Textocomentario"/>
    <w:uiPriority w:val="99"/>
    <w:semiHidden/>
    <w:rsid w:val="00B5520E"/>
    <w:rPr>
      <w:rFonts w:asciiTheme="minorHAnsi" w:eastAsiaTheme="minorEastAsia" w:hAnsiTheme="minorHAnsi"/>
      <w:sz w:val="20"/>
      <w:szCs w:val="20"/>
      <w:lang w:eastAsia="es-ES"/>
    </w:rPr>
  </w:style>
  <w:style w:type="character" w:customStyle="1" w:styleId="Ttulo2Car">
    <w:name w:val="Título 2 Car"/>
    <w:basedOn w:val="Fuentedeprrafopredeter"/>
    <w:link w:val="Ttulo2"/>
    <w:uiPriority w:val="9"/>
    <w:rsid w:val="00665BA1"/>
    <w:rPr>
      <w:rFonts w:asciiTheme="majorHAnsi" w:eastAsiaTheme="majorEastAsia" w:hAnsiTheme="majorHAnsi" w:cstheme="majorBidi"/>
      <w:b/>
      <w:bCs/>
      <w:color w:val="4F81BD" w:themeColor="accent1"/>
      <w:sz w:val="26"/>
      <w:szCs w:val="26"/>
    </w:rPr>
  </w:style>
  <w:style w:type="paragraph" w:customStyle="1" w:styleId="Cuerpodelboletn">
    <w:name w:val="Cuerpo del boletín"/>
    <w:basedOn w:val="Normal"/>
    <w:qFormat/>
    <w:rsid w:val="00665BA1"/>
    <w:pPr>
      <w:spacing w:line="240" w:lineRule="auto"/>
      <w:jc w:val="both"/>
    </w:pPr>
    <w:rPr>
      <w:rFonts w:ascii="Century Gothic" w:eastAsiaTheme="minorEastAsia" w:hAnsi="Century Gothic"/>
      <w:color w:val="000000"/>
      <w:sz w:val="22"/>
      <w:szCs w:val="24"/>
      <w:lang w:eastAsia="es-ES"/>
    </w:rPr>
  </w:style>
  <w:style w:type="character" w:customStyle="1" w:styleId="Ttulo3Car">
    <w:name w:val="Título 3 Car"/>
    <w:basedOn w:val="Fuentedeprrafopredeter"/>
    <w:link w:val="Ttulo3"/>
    <w:uiPriority w:val="9"/>
    <w:rsid w:val="00665BA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e.es/buscar/act.php?id=BOE-A-2015-1056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6</Pages>
  <Words>1893</Words>
  <Characters>10415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javier.amoros</dc:creator>
  <cp:keywords/>
  <dc:description/>
  <cp:lastModifiedBy>anam.ruiz</cp:lastModifiedBy>
  <cp:revision>6</cp:revision>
  <cp:lastPrinted>2015-01-27T17:42:00Z</cp:lastPrinted>
  <dcterms:created xsi:type="dcterms:W3CDTF">2021-03-05T07:51:00Z</dcterms:created>
  <dcterms:modified xsi:type="dcterms:W3CDTF">2021-07-19T09:11:00Z</dcterms:modified>
</cp:coreProperties>
</file>