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9F2810" w:rsidRPr="00006957" w:rsidRDefault="009F28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9F2810" w:rsidRPr="00006957" w:rsidRDefault="009F28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F2810" w:rsidRDefault="009F28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F2810" w:rsidRDefault="009F28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20B37">
            <w:pPr>
              <w:rPr>
                <w:sz w:val="24"/>
                <w:szCs w:val="24"/>
              </w:rPr>
            </w:pPr>
            <w:r>
              <w:rPr>
                <w:sz w:val="24"/>
                <w:szCs w:val="24"/>
              </w:rPr>
              <w:t>Administración General del Estado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E20B37">
            <w:pPr>
              <w:rPr>
                <w:sz w:val="24"/>
                <w:szCs w:val="24"/>
              </w:rPr>
            </w:pPr>
            <w:r>
              <w:rPr>
                <w:sz w:val="24"/>
                <w:szCs w:val="24"/>
              </w:rPr>
              <w:t>08/02/2020</w:t>
            </w:r>
          </w:p>
        </w:tc>
      </w:tr>
    </w:tbl>
    <w:p w:rsidR="000C6CFF" w:rsidRDefault="000C6CFF"/>
    <w:p w:rsidR="00561402" w:rsidRPr="0012783F" w:rsidRDefault="004F4B96">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tbl>
      <w:tblPr>
        <w:tblStyle w:val="Tablaconcuadrcula"/>
        <w:tblW w:w="10740" w:type="dxa"/>
        <w:tblLook w:val="04A0" w:firstRow="1" w:lastRow="0" w:firstColumn="1" w:lastColumn="0" w:noHBand="0" w:noVBand="1"/>
      </w:tblPr>
      <w:tblGrid>
        <w:gridCol w:w="6771"/>
        <w:gridCol w:w="3969"/>
      </w:tblGrid>
      <w:tr w:rsidR="0012783F" w:rsidRPr="0012783F" w:rsidTr="0012783F">
        <w:tc>
          <w:tcPr>
            <w:tcW w:w="6771" w:type="dxa"/>
            <w:shd w:val="clear" w:color="auto" w:fill="4D7F52"/>
          </w:tcPr>
          <w:p w:rsidR="0012783F" w:rsidRPr="0012783F" w:rsidRDefault="0012783F" w:rsidP="0012783F">
            <w:pPr>
              <w:jc w:val="center"/>
              <w:rPr>
                <w:color w:val="FFFFFF" w:themeColor="background1"/>
                <w:sz w:val="20"/>
                <w:szCs w:val="20"/>
              </w:rPr>
            </w:pPr>
          </w:p>
        </w:tc>
        <w:tc>
          <w:tcPr>
            <w:tcW w:w="3969" w:type="dxa"/>
            <w:shd w:val="clear" w:color="auto" w:fill="4D7F52"/>
          </w:tcPr>
          <w:p w:rsidR="0012783F" w:rsidRPr="0012783F" w:rsidRDefault="0012783F" w:rsidP="0012783F">
            <w:pPr>
              <w:jc w:val="center"/>
              <w:rPr>
                <w:color w:val="FFFFFF" w:themeColor="background1"/>
                <w:sz w:val="20"/>
                <w:szCs w:val="20"/>
              </w:rPr>
            </w:pPr>
            <w:r w:rsidRPr="0012783F">
              <w:rPr>
                <w:color w:val="FFFFFF" w:themeColor="background1"/>
                <w:sz w:val="20"/>
                <w:szCs w:val="20"/>
              </w:rPr>
              <w:t>Observaciones</w:t>
            </w:r>
          </w:p>
        </w:tc>
      </w:tr>
      <w:tr w:rsidR="0012783F" w:rsidRPr="0012783F" w:rsidTr="0012783F">
        <w:tc>
          <w:tcPr>
            <w:tcW w:w="6771" w:type="dxa"/>
          </w:tcPr>
          <w:p w:rsidR="0012783F" w:rsidRPr="0012783F" w:rsidRDefault="0012783F" w:rsidP="0012783F">
            <w:pPr>
              <w:rPr>
                <w:sz w:val="20"/>
                <w:szCs w:val="20"/>
              </w:rPr>
            </w:pPr>
            <w:r w:rsidRPr="0012783F">
              <w:rPr>
                <w:sz w:val="20"/>
                <w:szCs w:val="20"/>
              </w:rPr>
              <w:t>Asignación de la gestión de las solicitudes de acceso a una unidad específica</w:t>
            </w:r>
          </w:p>
        </w:tc>
        <w:tc>
          <w:tcPr>
            <w:tcW w:w="3969" w:type="dxa"/>
            <w:vAlign w:val="center"/>
          </w:tcPr>
          <w:p w:rsidR="0012783F" w:rsidRDefault="007453CB" w:rsidP="008207D9">
            <w:pPr>
              <w:jc w:val="both"/>
              <w:rPr>
                <w:sz w:val="20"/>
                <w:szCs w:val="20"/>
              </w:rPr>
            </w:pPr>
            <w:r>
              <w:rPr>
                <w:sz w:val="20"/>
                <w:szCs w:val="20"/>
              </w:rPr>
              <w:t>Existen 25 Unidades de Información y Transparencia (incluyendo la UIT central)</w:t>
            </w:r>
            <w:r w:rsidR="00817D5D">
              <w:rPr>
                <w:sz w:val="20"/>
                <w:szCs w:val="20"/>
              </w:rPr>
              <w:t>.</w:t>
            </w:r>
          </w:p>
          <w:p w:rsidR="00817D5D" w:rsidRDefault="00817D5D" w:rsidP="008207D9">
            <w:pPr>
              <w:jc w:val="both"/>
              <w:rPr>
                <w:sz w:val="20"/>
                <w:szCs w:val="20"/>
              </w:rPr>
            </w:pPr>
            <w:r w:rsidRPr="00817D5D">
              <w:rPr>
                <w:sz w:val="20"/>
                <w:szCs w:val="20"/>
              </w:rPr>
              <w:t>En el acceso “Más información” del Portal de Transparencia y a través del enlace “Unidades de Información y Transparencia</w:t>
            </w:r>
            <w:r w:rsidR="00841C53">
              <w:rPr>
                <w:sz w:val="20"/>
                <w:szCs w:val="20"/>
              </w:rPr>
              <w:t>"</w:t>
            </w:r>
            <w:r w:rsidRPr="00817D5D">
              <w:rPr>
                <w:sz w:val="20"/>
                <w:szCs w:val="20"/>
              </w:rPr>
              <w:t xml:space="preserve"> se proporciona información sobre las funciones y de  identificación y contacto con las 25 UITS</w:t>
            </w:r>
            <w:r>
              <w:rPr>
                <w:sz w:val="20"/>
                <w:szCs w:val="20"/>
              </w:rPr>
              <w:t>.</w:t>
            </w:r>
          </w:p>
          <w:p w:rsidR="00817D5D" w:rsidRPr="008207D9" w:rsidRDefault="00817D5D" w:rsidP="00817D5D">
            <w:pPr>
              <w:jc w:val="both"/>
              <w:rPr>
                <w:sz w:val="20"/>
                <w:szCs w:val="20"/>
              </w:rPr>
            </w:pPr>
            <w:r w:rsidRPr="00817D5D">
              <w:rPr>
                <w:sz w:val="20"/>
                <w:szCs w:val="20"/>
              </w:rPr>
              <w:t xml:space="preserve">No funcionan los enlaces externos a los buzones de las </w:t>
            </w:r>
            <w:proofErr w:type="spellStart"/>
            <w:r w:rsidRPr="00817D5D">
              <w:rPr>
                <w:sz w:val="20"/>
                <w:szCs w:val="20"/>
              </w:rPr>
              <w:t>UITs</w:t>
            </w:r>
            <w:proofErr w:type="spellEnd"/>
            <w:r w:rsidRPr="00817D5D">
              <w:rPr>
                <w:sz w:val="20"/>
                <w:szCs w:val="20"/>
              </w:rPr>
              <w:t>.</w:t>
            </w:r>
          </w:p>
        </w:tc>
      </w:tr>
      <w:tr w:rsidR="0012783F" w:rsidRPr="0012783F" w:rsidTr="0012783F">
        <w:tc>
          <w:tcPr>
            <w:tcW w:w="6771" w:type="dxa"/>
          </w:tcPr>
          <w:p w:rsidR="0012783F" w:rsidRPr="0012783F" w:rsidRDefault="00B812AB" w:rsidP="00B812AB">
            <w:pPr>
              <w:rPr>
                <w:sz w:val="20"/>
                <w:szCs w:val="20"/>
              </w:rPr>
            </w:pPr>
            <w:r>
              <w:rPr>
                <w:sz w:val="20"/>
                <w:szCs w:val="20"/>
              </w:rPr>
              <w:t xml:space="preserve">Número de personas </w:t>
            </w:r>
            <w:r w:rsidRPr="00B812AB">
              <w:rPr>
                <w:sz w:val="20"/>
                <w:szCs w:val="20"/>
              </w:rPr>
              <w:t>que asumen la gestión de las solicitudes de acceso</w:t>
            </w:r>
          </w:p>
        </w:tc>
        <w:tc>
          <w:tcPr>
            <w:tcW w:w="3969" w:type="dxa"/>
            <w:vAlign w:val="center"/>
          </w:tcPr>
          <w:p w:rsidR="0012783F" w:rsidRPr="008207D9" w:rsidRDefault="004F4B96" w:rsidP="008207D9">
            <w:pPr>
              <w:jc w:val="both"/>
              <w:rPr>
                <w:sz w:val="20"/>
                <w:szCs w:val="20"/>
              </w:rPr>
            </w:pPr>
            <w:r>
              <w:rPr>
                <w:sz w:val="20"/>
                <w:szCs w:val="20"/>
              </w:rPr>
              <w:t>Sin  información</w:t>
            </w:r>
          </w:p>
        </w:tc>
      </w:tr>
      <w:tr w:rsidR="0012783F" w:rsidRPr="0012783F" w:rsidTr="0012783F">
        <w:tc>
          <w:tcPr>
            <w:tcW w:w="6771" w:type="dxa"/>
          </w:tcPr>
          <w:p w:rsidR="0012783F" w:rsidRPr="0012783F" w:rsidRDefault="00B812AB" w:rsidP="00B812AB">
            <w:pPr>
              <w:rPr>
                <w:sz w:val="20"/>
                <w:szCs w:val="20"/>
              </w:rPr>
            </w:pPr>
            <w:r w:rsidRPr="00B812AB">
              <w:rPr>
                <w:sz w:val="20"/>
                <w:szCs w:val="20"/>
              </w:rPr>
              <w:t xml:space="preserve">Número de personas que </w:t>
            </w:r>
            <w:r>
              <w:rPr>
                <w:sz w:val="20"/>
                <w:szCs w:val="20"/>
              </w:rPr>
              <w:t>se dedican exclusivamente a</w:t>
            </w:r>
            <w:r w:rsidRPr="00B812AB">
              <w:rPr>
                <w:sz w:val="20"/>
                <w:szCs w:val="20"/>
              </w:rPr>
              <w:t xml:space="preserve"> la gestión de las solicitudes de acceso</w:t>
            </w:r>
          </w:p>
        </w:tc>
        <w:tc>
          <w:tcPr>
            <w:tcW w:w="3969" w:type="dxa"/>
            <w:vAlign w:val="center"/>
          </w:tcPr>
          <w:p w:rsidR="0012783F" w:rsidRPr="008207D9" w:rsidRDefault="004F4B96" w:rsidP="008207D9">
            <w:pPr>
              <w:jc w:val="both"/>
              <w:rPr>
                <w:sz w:val="20"/>
                <w:szCs w:val="20"/>
              </w:rPr>
            </w:pPr>
            <w:r>
              <w:rPr>
                <w:sz w:val="20"/>
                <w:szCs w:val="20"/>
              </w:rPr>
              <w:t>Sin información</w:t>
            </w:r>
          </w:p>
        </w:tc>
      </w:tr>
    </w:tbl>
    <w:p w:rsidR="0012783F" w:rsidRDefault="0012783F"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817D5D" w:rsidRDefault="00817D5D" w:rsidP="0012783F">
      <w:pPr>
        <w:pStyle w:val="Cuerpodelboletn"/>
        <w:spacing w:before="120" w:after="120" w:line="312" w:lineRule="auto"/>
        <w:ind w:left="360"/>
        <w:rPr>
          <w:rStyle w:val="Ttulo2Car"/>
          <w:color w:val="00642D"/>
          <w:lang w:bidi="es-ES"/>
        </w:rPr>
      </w:pPr>
    </w:p>
    <w:p w:rsidR="007453CB" w:rsidRPr="007453CB" w:rsidRDefault="007453CB" w:rsidP="007453CB">
      <w:pPr>
        <w:rPr>
          <w:rStyle w:val="Ttulo2Car"/>
          <w:b w:val="0"/>
          <w:color w:val="auto"/>
          <w:sz w:val="22"/>
          <w:szCs w:val="22"/>
          <w:lang w:bidi="es-ES"/>
        </w:rPr>
      </w:pPr>
    </w:p>
    <w:p w:rsidR="00B812AB" w:rsidRPr="0012783F" w:rsidRDefault="004F4B96"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 xml:space="preserve">Actividad generada en 2020 por las solicitudes de acceso a información pública  </w:t>
          </w:r>
        </w:sdtContent>
      </w:sdt>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4F4B96" w:rsidRDefault="004F4B96" w:rsidP="004F4B96">
      <w:pPr>
        <w:ind w:left="426"/>
        <w:jc w:val="both"/>
      </w:pPr>
      <w:r>
        <w:t>En 2020, el Portal de Transparencia de la AGE (en adelante PTAGE)  recibió 11.442 solicitudes de información, a las  que hay que añadir 497 que quedaron pendientes a finales de 2019. De estas 11.939  solicitudes se tramitaron 10.629 a lo largo de 2020, quedando pendientes a 31de diciembre de ese año 982 solicitudes.</w:t>
      </w:r>
    </w:p>
    <w:p w:rsidR="004F4B96" w:rsidRDefault="004F4B96" w:rsidP="004F4B96">
      <w:pPr>
        <w:ind w:left="426"/>
        <w:jc w:val="both"/>
      </w:pPr>
      <w:r>
        <w:t>De estas 10.629 solicitudes tramitadas, 8.436 fueron admitidas, quedando inadmitidas 2.193, de las cuales 569 lo fueron porque los solicitantes tenían la condición de interesados en un procedimiento administrativo en curso, en 439 casos porque la información solicitada disponía de un régimen</w:t>
      </w:r>
      <w:r w:rsidR="0058500C">
        <w:t xml:space="preserve"> específico de acceso, en 395 ocasiones se consideró la solicitud repetitiva o abusiva y en otras 362</w:t>
      </w:r>
      <w:r>
        <w:t xml:space="preserve"> porque </w:t>
      </w:r>
      <w:r w:rsidR="0058500C">
        <w:t xml:space="preserve">la solicitud iba dirigida a un órgano </w:t>
      </w:r>
      <w:r>
        <w:t xml:space="preserve"> </w:t>
      </w:r>
      <w:r w:rsidR="0058500C">
        <w:t xml:space="preserve">que </w:t>
      </w:r>
      <w:r>
        <w:t>no era el competente para resolverlas</w:t>
      </w:r>
      <w:r w:rsidR="0058500C">
        <w:t xml:space="preserve">. Las restantes causas de inadmisión presentan una frecuencia muy inferior. </w:t>
      </w:r>
      <w:r>
        <w:t xml:space="preserve"> </w:t>
      </w:r>
    </w:p>
    <w:p w:rsidR="00F23273" w:rsidRDefault="00F23273" w:rsidP="0058500C">
      <w:pPr>
        <w:ind w:left="426"/>
      </w:pPr>
      <w:r>
        <w:t>En el Boletín Estadístico del Portal de Transparencia se incluye una categoría adicional de causas de inadmisión, “Art. 18.1” desconociéndose a qué causas de inadmisión se refiere este apartado,   que en 2020 supusieron 98 solicitudes inadmitidas.</w:t>
      </w:r>
    </w:p>
    <w:p w:rsidR="00C6758C" w:rsidRPr="00F23273" w:rsidRDefault="00C6758C" w:rsidP="00C6758C">
      <w:pPr>
        <w:pStyle w:val="Epgrafe"/>
        <w:keepNext/>
        <w:rPr>
          <w:rStyle w:val="Ttulo2Car"/>
          <w:b/>
          <w:color w:val="00642D"/>
          <w:sz w:val="22"/>
          <w:szCs w:val="22"/>
          <w:lang w:bidi="es-ES"/>
        </w:rPr>
      </w:pPr>
      <w:r w:rsidRPr="00F23273">
        <w:rPr>
          <w:rStyle w:val="Ttulo2Car"/>
          <w:b/>
          <w:color w:val="00642D"/>
          <w:sz w:val="22"/>
          <w:szCs w:val="22"/>
          <w:lang w:bidi="es-ES"/>
        </w:rPr>
        <w:t xml:space="preserve">Gráfico </w:t>
      </w:r>
      <w:r w:rsidRPr="00F23273">
        <w:rPr>
          <w:rStyle w:val="Ttulo2Car"/>
          <w:b/>
          <w:color w:val="00642D"/>
          <w:sz w:val="22"/>
          <w:szCs w:val="22"/>
          <w:lang w:bidi="es-ES"/>
        </w:rPr>
        <w:fldChar w:fldCharType="begin"/>
      </w:r>
      <w:r w:rsidRPr="00F23273">
        <w:rPr>
          <w:rStyle w:val="Ttulo2Car"/>
          <w:b/>
          <w:color w:val="00642D"/>
          <w:sz w:val="22"/>
          <w:szCs w:val="22"/>
          <w:lang w:bidi="es-ES"/>
        </w:rPr>
        <w:instrText xml:space="preserve"> SEQ Gráfico \* ARABIC </w:instrText>
      </w:r>
      <w:r w:rsidRPr="00F23273">
        <w:rPr>
          <w:rStyle w:val="Ttulo2Car"/>
          <w:b/>
          <w:color w:val="00642D"/>
          <w:sz w:val="22"/>
          <w:szCs w:val="22"/>
          <w:lang w:bidi="es-ES"/>
        </w:rPr>
        <w:fldChar w:fldCharType="separate"/>
      </w:r>
      <w:r w:rsidRPr="00F23273">
        <w:rPr>
          <w:rStyle w:val="Ttulo2Car"/>
          <w:b/>
          <w:color w:val="00642D"/>
          <w:sz w:val="22"/>
          <w:szCs w:val="22"/>
          <w:lang w:bidi="es-ES"/>
        </w:rPr>
        <w:t>1</w:t>
      </w:r>
      <w:r w:rsidRPr="00F23273">
        <w:rPr>
          <w:rStyle w:val="Ttulo2Car"/>
          <w:b/>
          <w:color w:val="00642D"/>
          <w:sz w:val="22"/>
          <w:szCs w:val="22"/>
          <w:lang w:bidi="es-ES"/>
        </w:rPr>
        <w:fldChar w:fldCharType="end"/>
      </w:r>
      <w:r w:rsidRPr="00F23273">
        <w:rPr>
          <w:rStyle w:val="Ttulo2Car"/>
          <w:b/>
          <w:color w:val="00642D"/>
          <w:sz w:val="22"/>
          <w:szCs w:val="22"/>
          <w:lang w:bidi="es-ES"/>
        </w:rPr>
        <w:t xml:space="preserve">: Distribución de las solicitudes inadmitidas según causa de inadmisión </w:t>
      </w:r>
    </w:p>
    <w:p w:rsidR="00C6758C" w:rsidRDefault="00C6758C" w:rsidP="00C6758C">
      <w:r>
        <w:rPr>
          <w:noProof/>
        </w:rPr>
        <w:drawing>
          <wp:inline distT="0" distB="0" distL="0" distR="0" wp14:anchorId="2BE79ADC" wp14:editId="6F2CB1A0">
            <wp:extent cx="6000750" cy="292417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58C" w:rsidRDefault="00C6758C" w:rsidP="00B812AB"/>
    <w:p w:rsidR="0058500C" w:rsidRDefault="0058500C" w:rsidP="00B812AB"/>
    <w:p w:rsidR="0058500C" w:rsidRDefault="0058500C" w:rsidP="00B812AB"/>
    <w:p w:rsidR="0058500C" w:rsidRDefault="0058500C" w:rsidP="00B812AB"/>
    <w:p w:rsidR="0058500C" w:rsidRDefault="0058500C" w:rsidP="00B812AB"/>
    <w:p w:rsidR="00F23273" w:rsidRDefault="00F23273" w:rsidP="00B812AB"/>
    <w:p w:rsidR="00F23273" w:rsidRDefault="00F23273" w:rsidP="00F23273">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Pr>
          <w:rStyle w:val="Ttulo2Car"/>
          <w:color w:val="00642D"/>
          <w:lang w:bidi="es-ES"/>
        </w:rPr>
        <w:t xml:space="preserve">2 Indicadores de tramitación </w:t>
      </w:r>
      <w:r w:rsidRPr="00B812AB">
        <w:rPr>
          <w:rStyle w:val="Ttulo2Car"/>
          <w:color w:val="00642D"/>
          <w:lang w:bidi="es-ES"/>
        </w:rPr>
        <w:t>en 2020</w:t>
      </w:r>
    </w:p>
    <w:p w:rsidR="0058500C" w:rsidRDefault="0058500C" w:rsidP="0058500C">
      <w:pPr>
        <w:ind w:left="426"/>
        <w:jc w:val="both"/>
        <w:rPr>
          <w:rStyle w:val="Ttulo2Car"/>
          <w:b w:val="0"/>
          <w:color w:val="auto"/>
          <w:sz w:val="22"/>
          <w:szCs w:val="22"/>
          <w:lang w:bidi="es-ES"/>
        </w:rPr>
      </w:pPr>
      <w:r>
        <w:rPr>
          <w:rStyle w:val="Ttulo2Car"/>
          <w:b w:val="0"/>
          <w:color w:val="auto"/>
          <w:sz w:val="22"/>
          <w:szCs w:val="22"/>
          <w:lang w:bidi="es-ES"/>
        </w:rPr>
        <w:t xml:space="preserve">En 2020 se tramitó el 89% de las solicitudes, tanto entradas en el año como pendientes a finales de2019. Sin embargo, ha aumentado el número de solicitudes pendientes a final de año – han pasado de 497 a 982 – situándose la tasa de pendencia en 9,24. </w:t>
      </w:r>
    </w:p>
    <w:p w:rsidR="0058500C" w:rsidRDefault="0058500C" w:rsidP="0058500C">
      <w:pPr>
        <w:ind w:left="426"/>
        <w:jc w:val="both"/>
        <w:rPr>
          <w:rStyle w:val="Ttulo2Car"/>
          <w:b w:val="0"/>
          <w:color w:val="auto"/>
          <w:sz w:val="22"/>
          <w:szCs w:val="22"/>
          <w:lang w:bidi="es-ES"/>
        </w:rPr>
      </w:pPr>
      <w:r>
        <w:rPr>
          <w:rStyle w:val="Ttulo2Car"/>
          <w:b w:val="0"/>
          <w:color w:val="auto"/>
          <w:sz w:val="22"/>
          <w:szCs w:val="22"/>
          <w:lang w:bidi="es-ES"/>
        </w:rPr>
        <w:t>El tiempo medio estimado para la tramitación de las solicitudes pendientes es de casi 34 días naturales.</w:t>
      </w:r>
    </w:p>
    <w:p w:rsidR="0058500C" w:rsidRPr="00647481" w:rsidRDefault="0058500C" w:rsidP="0058500C">
      <w:pPr>
        <w:ind w:left="426"/>
        <w:jc w:val="both"/>
        <w:rPr>
          <w:rStyle w:val="Ttulo2Car"/>
          <w:b w:val="0"/>
          <w:color w:val="auto"/>
          <w:sz w:val="22"/>
          <w:szCs w:val="22"/>
          <w:lang w:bidi="es-ES"/>
        </w:rPr>
      </w:pPr>
      <w:r>
        <w:rPr>
          <w:rStyle w:val="Ttulo2Car"/>
          <w:b w:val="0"/>
          <w:color w:val="auto"/>
          <w:sz w:val="22"/>
          <w:szCs w:val="22"/>
          <w:lang w:bidi="es-ES"/>
        </w:rPr>
        <w:t xml:space="preserve">La AGE inadmite una quinta parte de las solicitudes que recibe - ya se ha indicado que </w:t>
      </w:r>
      <w:r w:rsidR="000235F8">
        <w:rPr>
          <w:rStyle w:val="Ttulo2Car"/>
          <w:b w:val="0"/>
          <w:color w:val="auto"/>
          <w:sz w:val="22"/>
          <w:szCs w:val="22"/>
          <w:lang w:bidi="es-ES"/>
        </w:rPr>
        <w:t>casi el 48</w:t>
      </w:r>
      <w:r>
        <w:rPr>
          <w:rStyle w:val="Ttulo2Car"/>
          <w:b w:val="0"/>
          <w:color w:val="auto"/>
          <w:sz w:val="22"/>
          <w:szCs w:val="22"/>
          <w:lang w:bidi="es-ES"/>
        </w:rPr>
        <w:t xml:space="preserve">% de las solicitudes </w:t>
      </w:r>
      <w:r w:rsidR="000235F8">
        <w:rPr>
          <w:rStyle w:val="Ttulo2Car"/>
          <w:b w:val="0"/>
          <w:color w:val="auto"/>
          <w:sz w:val="22"/>
          <w:szCs w:val="22"/>
          <w:lang w:bidi="es-ES"/>
        </w:rPr>
        <w:t xml:space="preserve">inadmitidas </w:t>
      </w:r>
      <w:r>
        <w:rPr>
          <w:rStyle w:val="Ttulo2Car"/>
          <w:b w:val="0"/>
          <w:color w:val="auto"/>
          <w:sz w:val="22"/>
          <w:szCs w:val="22"/>
          <w:lang w:bidi="es-ES"/>
        </w:rPr>
        <w:t xml:space="preserve">se refieren a información </w:t>
      </w:r>
      <w:r w:rsidR="000235F8">
        <w:rPr>
          <w:rStyle w:val="Ttulo2Car"/>
          <w:b w:val="0"/>
          <w:color w:val="auto"/>
          <w:sz w:val="22"/>
          <w:szCs w:val="22"/>
          <w:lang w:bidi="es-ES"/>
        </w:rPr>
        <w:t xml:space="preserve">que cuenta con un régimen específico de acceso o a que los solicitantes tenían la condición de interesados en un procedimiento administrativo en curso. </w:t>
      </w:r>
    </w:p>
    <w:p w:rsidR="000235F8" w:rsidRPr="00647481" w:rsidRDefault="000235F8" w:rsidP="000235F8">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817"/>
        <w:gridCol w:w="6804"/>
        <w:gridCol w:w="1559"/>
      </w:tblGrid>
      <w:tr w:rsidR="00DD3E02" w:rsidRPr="00706E04" w:rsidTr="000235F8">
        <w:tc>
          <w:tcPr>
            <w:tcW w:w="817" w:type="dxa"/>
            <w:vMerge w:val="restart"/>
            <w:tcBorders>
              <w:top w:val="nil"/>
              <w:right w:val="nil"/>
            </w:tcBorders>
            <w:shd w:val="clear" w:color="auto" w:fill="4D7F52"/>
            <w:textDirection w:val="btLr"/>
          </w:tcPr>
          <w:p w:rsidR="00DD3E02" w:rsidRPr="005B3C15" w:rsidRDefault="00DD3E02" w:rsidP="00983919">
            <w:pPr>
              <w:ind w:left="113" w:right="113"/>
              <w:jc w:val="center"/>
              <w:rPr>
                <w:b/>
                <w:color w:val="FFFFFF" w:themeColor="background1"/>
              </w:rPr>
            </w:pPr>
            <w:r w:rsidRPr="005B3C15">
              <w:rPr>
                <w:b/>
                <w:color w:val="FFFFFF" w:themeColor="background1"/>
              </w:rPr>
              <w:t>Indicadores de tramitación</w:t>
            </w:r>
          </w:p>
        </w:tc>
        <w:tc>
          <w:tcPr>
            <w:tcW w:w="6804" w:type="dxa"/>
            <w:tcBorders>
              <w:left w:val="nil"/>
            </w:tcBorders>
          </w:tcPr>
          <w:p w:rsidR="00DD3E02" w:rsidRDefault="00DD3E02" w:rsidP="00055B15">
            <w:pPr>
              <w:rPr>
                <w:b/>
                <w:sz w:val="20"/>
                <w:szCs w:val="20"/>
              </w:rPr>
            </w:pPr>
            <w:r>
              <w:rPr>
                <w:b/>
                <w:sz w:val="20"/>
                <w:szCs w:val="20"/>
              </w:rPr>
              <w:t>Solicitudes/persona UIT</w:t>
            </w:r>
          </w:p>
        </w:tc>
        <w:tc>
          <w:tcPr>
            <w:tcW w:w="1559" w:type="dxa"/>
            <w:shd w:val="pct12" w:color="auto" w:fill="D6E3BC" w:themeFill="accent3" w:themeFillTint="66"/>
            <w:vAlign w:val="center"/>
          </w:tcPr>
          <w:p w:rsidR="00DD3E02" w:rsidRPr="00DB23FA" w:rsidRDefault="00DD3E02" w:rsidP="00983919">
            <w:pPr>
              <w:jc w:val="center"/>
              <w:rPr>
                <w:b/>
                <w:sz w:val="20"/>
                <w:szCs w:val="20"/>
              </w:rPr>
            </w:pPr>
          </w:p>
        </w:tc>
      </w:tr>
      <w:tr w:rsidR="00DD3E02" w:rsidRPr="00706E04" w:rsidTr="000235F8">
        <w:tc>
          <w:tcPr>
            <w:tcW w:w="817" w:type="dxa"/>
            <w:vMerge/>
            <w:tcBorders>
              <w:top w:val="nil"/>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Default="00DD3E02" w:rsidP="00055B15">
            <w:pPr>
              <w:rPr>
                <w:b/>
                <w:sz w:val="20"/>
                <w:szCs w:val="20"/>
              </w:rPr>
            </w:pPr>
            <w:r>
              <w:rPr>
                <w:b/>
                <w:sz w:val="20"/>
                <w:szCs w:val="20"/>
              </w:rPr>
              <w:t>Solicitudes tramitadas/</w:t>
            </w:r>
            <w:r w:rsidR="00055B15">
              <w:rPr>
                <w:b/>
                <w:sz w:val="20"/>
                <w:szCs w:val="20"/>
              </w:rPr>
              <w:t>persona UIT</w:t>
            </w:r>
          </w:p>
        </w:tc>
        <w:tc>
          <w:tcPr>
            <w:tcW w:w="1559" w:type="dxa"/>
            <w:shd w:val="pct12" w:color="auto" w:fill="D6E3BC" w:themeFill="accent3" w:themeFillTint="66"/>
            <w:vAlign w:val="center"/>
          </w:tcPr>
          <w:p w:rsidR="00DD3E02" w:rsidRPr="00DB23FA" w:rsidRDefault="00DD3E02" w:rsidP="00983919">
            <w:pPr>
              <w:jc w:val="center"/>
              <w:rPr>
                <w:b/>
                <w:sz w:val="20"/>
                <w:szCs w:val="20"/>
              </w:rPr>
            </w:pP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706E04" w:rsidRDefault="00DD3E02" w:rsidP="00983919">
            <w:pPr>
              <w:rPr>
                <w:b/>
                <w:sz w:val="20"/>
                <w:szCs w:val="20"/>
              </w:rPr>
            </w:pPr>
            <w:r>
              <w:rPr>
                <w:b/>
                <w:sz w:val="20"/>
                <w:szCs w:val="20"/>
              </w:rPr>
              <w:t>Tasa de Tramitación (tramitadas/(pendientes a 31/12/2019 + recibidas 2020))</w:t>
            </w:r>
          </w:p>
        </w:tc>
        <w:tc>
          <w:tcPr>
            <w:tcW w:w="1559" w:type="dxa"/>
            <w:vAlign w:val="center"/>
          </w:tcPr>
          <w:p w:rsidR="00DD3E02" w:rsidRPr="00EB1C95" w:rsidRDefault="00A020A1" w:rsidP="00983919">
            <w:pPr>
              <w:jc w:val="center"/>
              <w:rPr>
                <w:sz w:val="20"/>
                <w:szCs w:val="20"/>
              </w:rPr>
            </w:pPr>
            <w:r w:rsidRPr="00EB1C95">
              <w:rPr>
                <w:sz w:val="20"/>
                <w:szCs w:val="20"/>
              </w:rPr>
              <w:t>89,03</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706E04" w:rsidRDefault="00DD3E02" w:rsidP="00983919">
            <w:pPr>
              <w:rPr>
                <w:b/>
                <w:sz w:val="20"/>
                <w:szCs w:val="20"/>
              </w:rPr>
            </w:pPr>
            <w:r>
              <w:rPr>
                <w:b/>
                <w:sz w:val="20"/>
                <w:szCs w:val="20"/>
              </w:rPr>
              <w:t>Tasa de pendencia (pendientes a 31/12/2020 / tramitadas)</w:t>
            </w:r>
          </w:p>
        </w:tc>
        <w:tc>
          <w:tcPr>
            <w:tcW w:w="1559" w:type="dxa"/>
            <w:vAlign w:val="center"/>
          </w:tcPr>
          <w:p w:rsidR="00DD3E02" w:rsidRPr="00EB1C95" w:rsidRDefault="00A020A1" w:rsidP="00983919">
            <w:pPr>
              <w:jc w:val="center"/>
              <w:rPr>
                <w:sz w:val="20"/>
                <w:szCs w:val="20"/>
              </w:rPr>
            </w:pPr>
            <w:r w:rsidRPr="00EB1C95">
              <w:rPr>
                <w:sz w:val="20"/>
                <w:szCs w:val="20"/>
              </w:rPr>
              <w:t>9,24</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706E04" w:rsidRDefault="00DD3E02" w:rsidP="001F251B">
            <w:pPr>
              <w:rPr>
                <w:b/>
                <w:sz w:val="20"/>
                <w:szCs w:val="20"/>
              </w:rPr>
            </w:pPr>
            <w:r>
              <w:rPr>
                <w:b/>
                <w:sz w:val="20"/>
                <w:szCs w:val="20"/>
              </w:rPr>
              <w:t>Tasa de resolución</w:t>
            </w:r>
            <w:r w:rsidR="001F251B">
              <w:rPr>
                <w:b/>
                <w:sz w:val="20"/>
                <w:szCs w:val="20"/>
              </w:rPr>
              <w:t xml:space="preserve"> en la tramitación</w:t>
            </w:r>
            <w:r>
              <w:rPr>
                <w:b/>
                <w:sz w:val="20"/>
                <w:szCs w:val="20"/>
              </w:rPr>
              <w:t xml:space="preserve"> (tramitadas/entradas en 2020)</w:t>
            </w:r>
          </w:p>
        </w:tc>
        <w:tc>
          <w:tcPr>
            <w:tcW w:w="1559" w:type="dxa"/>
            <w:vAlign w:val="center"/>
          </w:tcPr>
          <w:p w:rsidR="00DD3E02" w:rsidRPr="00EB1C95" w:rsidRDefault="00A020A1" w:rsidP="00983919">
            <w:pPr>
              <w:jc w:val="center"/>
              <w:rPr>
                <w:sz w:val="20"/>
                <w:szCs w:val="20"/>
              </w:rPr>
            </w:pPr>
            <w:r w:rsidRPr="00EB1C95">
              <w:rPr>
                <w:sz w:val="20"/>
                <w:szCs w:val="20"/>
              </w:rPr>
              <w:t>92,89</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706E04" w:rsidRDefault="00DD3E02" w:rsidP="00983919">
            <w:pPr>
              <w:rPr>
                <w:b/>
                <w:sz w:val="20"/>
                <w:szCs w:val="20"/>
              </w:rPr>
            </w:pPr>
            <w:r w:rsidRPr="00983919">
              <w:rPr>
                <w:b/>
                <w:sz w:val="20"/>
                <w:szCs w:val="20"/>
              </w:rPr>
              <w:t>Tasa de congestión</w:t>
            </w:r>
            <w:r>
              <w:rPr>
                <w:b/>
                <w:sz w:val="20"/>
                <w:szCs w:val="20"/>
              </w:rPr>
              <w:t xml:space="preserve"> ((pendientes a 31/12/2019 + entradas 2020) /</w:t>
            </w:r>
            <w:r w:rsidRPr="00983919">
              <w:rPr>
                <w:b/>
                <w:sz w:val="20"/>
                <w:szCs w:val="20"/>
              </w:rPr>
              <w:t xml:space="preserve"> </w:t>
            </w:r>
            <w:r>
              <w:rPr>
                <w:b/>
                <w:sz w:val="20"/>
                <w:szCs w:val="20"/>
              </w:rPr>
              <w:t>tramitadas</w:t>
            </w:r>
          </w:p>
        </w:tc>
        <w:tc>
          <w:tcPr>
            <w:tcW w:w="1559" w:type="dxa"/>
            <w:vAlign w:val="center"/>
          </w:tcPr>
          <w:p w:rsidR="00DD3E02" w:rsidRPr="00EB1C95" w:rsidRDefault="00A020A1" w:rsidP="00983919">
            <w:pPr>
              <w:jc w:val="center"/>
              <w:rPr>
                <w:sz w:val="20"/>
                <w:szCs w:val="20"/>
              </w:rPr>
            </w:pPr>
            <w:r w:rsidRPr="00EB1C95">
              <w:rPr>
                <w:sz w:val="20"/>
                <w:szCs w:val="20"/>
              </w:rPr>
              <w:t>112,32</w:t>
            </w:r>
          </w:p>
        </w:tc>
      </w:tr>
      <w:tr w:rsidR="005B3C15" w:rsidRPr="00706E04" w:rsidTr="000235F8">
        <w:tc>
          <w:tcPr>
            <w:tcW w:w="817" w:type="dxa"/>
            <w:vMerge/>
            <w:tcBorders>
              <w:right w:val="nil"/>
            </w:tcBorders>
            <w:shd w:val="clear" w:color="auto" w:fill="4D7F52"/>
            <w:textDirection w:val="btLr"/>
          </w:tcPr>
          <w:p w:rsidR="005B3C15" w:rsidRPr="005B3C15" w:rsidRDefault="005B3C15" w:rsidP="00983919">
            <w:pPr>
              <w:ind w:left="113" w:right="113"/>
              <w:jc w:val="center"/>
              <w:rPr>
                <w:b/>
                <w:color w:val="FFFFFF" w:themeColor="background1"/>
              </w:rPr>
            </w:pPr>
          </w:p>
        </w:tc>
        <w:tc>
          <w:tcPr>
            <w:tcW w:w="6804" w:type="dxa"/>
            <w:tcBorders>
              <w:left w:val="nil"/>
            </w:tcBorders>
          </w:tcPr>
          <w:p w:rsidR="005B3C15" w:rsidRDefault="005B3C15" w:rsidP="005B3C15">
            <w:pPr>
              <w:rPr>
                <w:b/>
                <w:sz w:val="20"/>
                <w:szCs w:val="20"/>
              </w:rPr>
            </w:pPr>
            <w:r>
              <w:rPr>
                <w:b/>
                <w:sz w:val="20"/>
                <w:szCs w:val="20"/>
              </w:rPr>
              <w:t>Tiempo medio estimado para la tramitación de las solicitudes pendientes (</w:t>
            </w:r>
            <w:r w:rsidR="00923092">
              <w:rPr>
                <w:b/>
                <w:sz w:val="20"/>
                <w:szCs w:val="20"/>
              </w:rPr>
              <w:t>(</w:t>
            </w:r>
            <w:r>
              <w:rPr>
                <w:b/>
                <w:sz w:val="20"/>
                <w:szCs w:val="20"/>
              </w:rPr>
              <w:t xml:space="preserve">pendientes a 31/12/2020 / </w:t>
            </w:r>
            <w:r w:rsidR="00923092">
              <w:rPr>
                <w:b/>
                <w:sz w:val="20"/>
                <w:szCs w:val="20"/>
              </w:rPr>
              <w:t>tramitadas)*365</w:t>
            </w:r>
            <w:r w:rsidR="00817D5D">
              <w:rPr>
                <w:b/>
                <w:sz w:val="20"/>
                <w:szCs w:val="20"/>
              </w:rPr>
              <w:t>) (días naturales)</w:t>
            </w:r>
            <w:r w:rsidR="00923092">
              <w:rPr>
                <w:b/>
                <w:sz w:val="20"/>
                <w:szCs w:val="20"/>
              </w:rPr>
              <w:t xml:space="preserve"> </w:t>
            </w:r>
          </w:p>
        </w:tc>
        <w:tc>
          <w:tcPr>
            <w:tcW w:w="1559" w:type="dxa"/>
            <w:vAlign w:val="center"/>
          </w:tcPr>
          <w:p w:rsidR="005B3C15" w:rsidRPr="00EB1C95" w:rsidRDefault="005A0AF5" w:rsidP="00817D5D">
            <w:pPr>
              <w:jc w:val="center"/>
              <w:rPr>
                <w:sz w:val="20"/>
                <w:szCs w:val="20"/>
              </w:rPr>
            </w:pPr>
            <w:r w:rsidRPr="00EB1C95">
              <w:rPr>
                <w:sz w:val="20"/>
                <w:szCs w:val="20"/>
              </w:rPr>
              <w:t xml:space="preserve">33,72 </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983919" w:rsidRDefault="00DD3E02" w:rsidP="00983919">
            <w:pPr>
              <w:rPr>
                <w:b/>
                <w:sz w:val="20"/>
                <w:szCs w:val="20"/>
              </w:rPr>
            </w:pPr>
            <w:r>
              <w:rPr>
                <w:b/>
                <w:sz w:val="20"/>
                <w:szCs w:val="20"/>
              </w:rPr>
              <w:t>Tasa de admisión (admitidas/tramitadas)</w:t>
            </w:r>
          </w:p>
        </w:tc>
        <w:tc>
          <w:tcPr>
            <w:tcW w:w="1559" w:type="dxa"/>
            <w:vAlign w:val="center"/>
          </w:tcPr>
          <w:p w:rsidR="00DD3E02" w:rsidRPr="00EB1C95" w:rsidRDefault="005A0AF5" w:rsidP="00983919">
            <w:pPr>
              <w:jc w:val="center"/>
              <w:rPr>
                <w:sz w:val="20"/>
                <w:szCs w:val="20"/>
              </w:rPr>
            </w:pPr>
            <w:r w:rsidRPr="00EB1C95">
              <w:rPr>
                <w:sz w:val="20"/>
                <w:szCs w:val="20"/>
              </w:rPr>
              <w:t>79,37</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983919" w:rsidRDefault="00DD3E02" w:rsidP="00983919">
            <w:pPr>
              <w:rPr>
                <w:b/>
                <w:sz w:val="20"/>
                <w:szCs w:val="20"/>
              </w:rPr>
            </w:pPr>
            <w:r>
              <w:rPr>
                <w:b/>
                <w:sz w:val="20"/>
                <w:szCs w:val="20"/>
              </w:rPr>
              <w:t>Tasa de inadmisión (inadmitidas/ tramitadas)</w:t>
            </w:r>
          </w:p>
        </w:tc>
        <w:tc>
          <w:tcPr>
            <w:tcW w:w="1559" w:type="dxa"/>
            <w:vAlign w:val="center"/>
          </w:tcPr>
          <w:p w:rsidR="00DD3E02" w:rsidRPr="00EB1C95" w:rsidRDefault="005A0AF5" w:rsidP="00983919">
            <w:pPr>
              <w:jc w:val="center"/>
              <w:rPr>
                <w:sz w:val="20"/>
                <w:szCs w:val="20"/>
              </w:rPr>
            </w:pPr>
            <w:r w:rsidRPr="00EB1C95">
              <w:rPr>
                <w:sz w:val="20"/>
                <w:szCs w:val="20"/>
              </w:rPr>
              <w:t>20,63</w:t>
            </w:r>
          </w:p>
        </w:tc>
      </w:tr>
      <w:tr w:rsidR="00DD3E02" w:rsidRPr="00706E04" w:rsidTr="000235F8">
        <w:tc>
          <w:tcPr>
            <w:tcW w:w="817" w:type="dxa"/>
            <w:vMerge/>
            <w:tcBorders>
              <w:right w:val="nil"/>
            </w:tcBorders>
            <w:shd w:val="clear" w:color="auto" w:fill="4D7F52"/>
            <w:textDirection w:val="btLr"/>
          </w:tcPr>
          <w:p w:rsidR="00DD3E02" w:rsidRPr="005B3C15" w:rsidRDefault="00DD3E02" w:rsidP="00983919">
            <w:pPr>
              <w:ind w:left="113" w:right="113"/>
              <w:jc w:val="center"/>
              <w:rPr>
                <w:b/>
                <w:color w:val="FFFFFF" w:themeColor="background1"/>
              </w:rPr>
            </w:pPr>
          </w:p>
        </w:tc>
        <w:tc>
          <w:tcPr>
            <w:tcW w:w="6804" w:type="dxa"/>
            <w:tcBorders>
              <w:left w:val="nil"/>
            </w:tcBorders>
          </w:tcPr>
          <w:p w:rsidR="00DD3E02" w:rsidRPr="00983919" w:rsidRDefault="00DD3E02" w:rsidP="00983919">
            <w:pPr>
              <w:rPr>
                <w:b/>
                <w:sz w:val="20"/>
                <w:szCs w:val="20"/>
              </w:rPr>
            </w:pPr>
            <w:r>
              <w:rPr>
                <w:b/>
                <w:sz w:val="20"/>
                <w:szCs w:val="20"/>
              </w:rPr>
              <w:t>Tasa de archivo (archivadas/tramitadas)</w:t>
            </w:r>
          </w:p>
        </w:tc>
        <w:tc>
          <w:tcPr>
            <w:tcW w:w="1559" w:type="dxa"/>
            <w:vAlign w:val="center"/>
          </w:tcPr>
          <w:p w:rsidR="00DD3E02" w:rsidRPr="00EB1C95" w:rsidRDefault="00FD7839" w:rsidP="00983919">
            <w:pPr>
              <w:jc w:val="center"/>
              <w:rPr>
                <w:sz w:val="20"/>
                <w:szCs w:val="20"/>
              </w:rPr>
            </w:pPr>
            <w:r w:rsidRPr="00EB1C95">
              <w:rPr>
                <w:sz w:val="20"/>
                <w:szCs w:val="20"/>
              </w:rPr>
              <w:t>Sin datos</w:t>
            </w:r>
          </w:p>
        </w:tc>
      </w:tr>
    </w:tbl>
    <w:p w:rsidR="00B812AB" w:rsidRDefault="00B812AB"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F23273">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0235F8" w:rsidRPr="009079EA" w:rsidRDefault="000235F8" w:rsidP="000235F8">
      <w:pPr>
        <w:ind w:left="426"/>
        <w:jc w:val="both"/>
        <w:rPr>
          <w:rStyle w:val="Ttulo2Car"/>
          <w:color w:val="00642D"/>
          <w:lang w:bidi="es-ES"/>
        </w:rPr>
      </w:pPr>
      <w:r>
        <w:rPr>
          <w:rStyle w:val="Ttulo2Car"/>
          <w:b w:val="0"/>
          <w:color w:val="auto"/>
          <w:sz w:val="22"/>
          <w:szCs w:val="22"/>
          <w:lang w:bidi="es-ES"/>
        </w:rPr>
        <w:t>Respecto de las resoluciones emitidas en 2020, 4.898 concedieron la información, de las cuales 4.320</w:t>
      </w:r>
      <w:r>
        <w:rPr>
          <w:rStyle w:val="Refdenotaalpie"/>
          <w:rFonts w:eastAsiaTheme="majorEastAsia" w:cstheme="majorBidi"/>
          <w:bCs/>
          <w:lang w:bidi="es-ES"/>
        </w:rPr>
        <w:footnoteReference w:id="1"/>
      </w:r>
      <w:r>
        <w:rPr>
          <w:rStyle w:val="Ttulo2Car"/>
          <w:b w:val="0"/>
          <w:color w:val="auto"/>
          <w:sz w:val="22"/>
          <w:szCs w:val="22"/>
          <w:lang w:bidi="es-ES"/>
        </w:rPr>
        <w:t xml:space="preserve"> dieron acceso total y 578 parcial. Fueron denegadas 197 solicitudes, en 82 casos aplicando varios límites del artículo 14. La protección de los intereses comerciales y económicos, de datos de carácter personal y la seguridad pública son los límites invocados con mayor frecuencia. </w:t>
      </w:r>
    </w:p>
    <w:p w:rsidR="000235F8" w:rsidRPr="009079EA" w:rsidRDefault="000235F8" w:rsidP="000235F8">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El PTAGE publica</w:t>
      </w:r>
      <w:r w:rsidRPr="009079EA">
        <w:rPr>
          <w:rStyle w:val="Ttulo2Car"/>
          <w:b w:val="0"/>
          <w:color w:val="auto"/>
          <w:sz w:val="22"/>
          <w:szCs w:val="22"/>
          <w:lang w:bidi="es-ES"/>
        </w:rPr>
        <w:t xml:space="preserve"> </w:t>
      </w:r>
      <w:r>
        <w:rPr>
          <w:rStyle w:val="Ttulo2Car"/>
          <w:b w:val="0"/>
          <w:color w:val="auto"/>
          <w:sz w:val="22"/>
          <w:szCs w:val="22"/>
          <w:lang w:bidi="es-ES"/>
        </w:rPr>
        <w:t xml:space="preserve">información sobre las solicitudes denegadas por aplicación de los límites del artículo 14 de la LTAIBG, dando cumplimiento al artículo 14.3 de la norma, que obliga a la publicación de estas resoluciones previa disociación de los datos de carácter personal. </w:t>
      </w:r>
    </w:p>
    <w:p w:rsidR="000235F8" w:rsidRDefault="000235F8" w:rsidP="00055B15">
      <w:pPr>
        <w:pStyle w:val="Cuerpodelboletn"/>
        <w:spacing w:before="120" w:after="120" w:line="312" w:lineRule="auto"/>
        <w:ind w:left="360"/>
        <w:rPr>
          <w:rStyle w:val="Ttulo2Car"/>
          <w:color w:val="00642D"/>
          <w:lang w:bidi="es-ES"/>
        </w:rPr>
      </w:pPr>
    </w:p>
    <w:p w:rsidR="00055B15" w:rsidRDefault="00055B15" w:rsidP="00B812AB"/>
    <w:p w:rsidR="00C6758C" w:rsidRPr="00F23273" w:rsidRDefault="00C6758C" w:rsidP="00C6758C">
      <w:pPr>
        <w:pStyle w:val="Epgrafe"/>
        <w:keepNext/>
        <w:rPr>
          <w:rStyle w:val="Ttulo2Car"/>
          <w:b/>
          <w:color w:val="00642D"/>
          <w:sz w:val="22"/>
          <w:szCs w:val="22"/>
          <w:lang w:bidi="es-ES"/>
        </w:rPr>
      </w:pPr>
      <w:r w:rsidRPr="00F23273">
        <w:rPr>
          <w:rStyle w:val="Ttulo2Car"/>
          <w:b/>
          <w:color w:val="00642D"/>
          <w:sz w:val="22"/>
          <w:szCs w:val="22"/>
          <w:lang w:bidi="es-ES"/>
        </w:rPr>
        <w:lastRenderedPageBreak/>
        <w:t xml:space="preserve">Gráfico </w:t>
      </w:r>
      <w:r w:rsidRPr="00F23273">
        <w:rPr>
          <w:rStyle w:val="Ttulo2Car"/>
          <w:b/>
          <w:color w:val="00642D"/>
          <w:sz w:val="22"/>
          <w:szCs w:val="22"/>
          <w:lang w:bidi="es-ES"/>
        </w:rPr>
        <w:fldChar w:fldCharType="begin"/>
      </w:r>
      <w:r w:rsidRPr="00F23273">
        <w:rPr>
          <w:rStyle w:val="Ttulo2Car"/>
          <w:b/>
          <w:color w:val="00642D"/>
          <w:sz w:val="22"/>
          <w:szCs w:val="22"/>
          <w:lang w:bidi="es-ES"/>
        </w:rPr>
        <w:instrText xml:space="preserve"> SEQ Gráfico \* ARABIC </w:instrText>
      </w:r>
      <w:r w:rsidRPr="00F23273">
        <w:rPr>
          <w:rStyle w:val="Ttulo2Car"/>
          <w:b/>
          <w:color w:val="00642D"/>
          <w:sz w:val="22"/>
          <w:szCs w:val="22"/>
          <w:lang w:bidi="es-ES"/>
        </w:rPr>
        <w:fldChar w:fldCharType="separate"/>
      </w:r>
      <w:r w:rsidRPr="00F23273">
        <w:rPr>
          <w:rStyle w:val="Ttulo2Car"/>
          <w:b/>
          <w:color w:val="00642D"/>
          <w:sz w:val="22"/>
          <w:szCs w:val="22"/>
          <w:lang w:bidi="es-ES"/>
        </w:rPr>
        <w:t>2</w:t>
      </w:r>
      <w:r w:rsidRPr="00F23273">
        <w:rPr>
          <w:rStyle w:val="Ttulo2Car"/>
          <w:b/>
          <w:color w:val="00642D"/>
          <w:sz w:val="22"/>
          <w:szCs w:val="22"/>
          <w:lang w:bidi="es-ES"/>
        </w:rPr>
        <w:fldChar w:fldCharType="end"/>
      </w:r>
      <w:r w:rsidRPr="00F23273">
        <w:rPr>
          <w:rStyle w:val="Ttulo2Car"/>
          <w:b/>
          <w:color w:val="00642D"/>
          <w:sz w:val="22"/>
          <w:szCs w:val="22"/>
          <w:lang w:bidi="es-ES"/>
        </w:rPr>
        <w:t>: Distribución de las solicitudes denegadas según causa de denegación.</w:t>
      </w:r>
    </w:p>
    <w:p w:rsidR="00C6758C" w:rsidRDefault="00C6758C" w:rsidP="00B812AB">
      <w:r>
        <w:rPr>
          <w:noProof/>
        </w:rPr>
        <w:drawing>
          <wp:inline distT="0" distB="0" distL="0" distR="0" wp14:anchorId="6D02743E" wp14:editId="12325B9F">
            <wp:extent cx="5867400" cy="33909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3273" w:rsidRDefault="00F23273" w:rsidP="00F23273">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4 Indicadores de resolución en 2020 </w:t>
      </w:r>
    </w:p>
    <w:p w:rsidR="000235F8" w:rsidRDefault="000235F8" w:rsidP="000235F8">
      <w:pPr>
        <w:ind w:left="426"/>
        <w:jc w:val="both"/>
      </w:pPr>
      <w:r>
        <w:t>La dicta emite resoluciones expresas para 79,37% de las solicitudes admitidas. Un 3,97% de las solicitudes ha sido desestimada por silencio administrativo.</w:t>
      </w:r>
    </w:p>
    <w:p w:rsidR="000235F8" w:rsidRDefault="000235F8" w:rsidP="000235F8">
      <w:pPr>
        <w:ind w:left="426"/>
        <w:jc w:val="both"/>
      </w:pPr>
      <w:r>
        <w:t xml:space="preserve">Un 58% de las Resoluciones concede el acceso a la información. De ellas, el 87,7% concede acceso total y el </w:t>
      </w:r>
      <w:r w:rsidR="00211694">
        <w:t>12,3</w:t>
      </w:r>
      <w:r>
        <w:t xml:space="preserve">% acceso parcial. Un </w:t>
      </w:r>
      <w:r w:rsidR="00211694">
        <w:t>2,19</w:t>
      </w:r>
      <w:r>
        <w:t xml:space="preserve">% deniega la información y el </w:t>
      </w:r>
      <w:r w:rsidR="00211694">
        <w:t>39,75</w:t>
      </w:r>
      <w:r>
        <w:t>% adicional, determina la finalización del procedimiento por desistimiento y otras causas.</w:t>
      </w:r>
    </w:p>
    <w:p w:rsidR="00EB1C95" w:rsidRPr="009079EA" w:rsidRDefault="00EB1C95" w:rsidP="00EB1C95">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Look w:val="04A0" w:firstRow="1" w:lastRow="0" w:firstColumn="1" w:lastColumn="0" w:noHBand="0" w:noVBand="1"/>
      </w:tblPr>
      <w:tblGrid>
        <w:gridCol w:w="1299"/>
        <w:gridCol w:w="6322"/>
        <w:gridCol w:w="1559"/>
      </w:tblGrid>
      <w:tr w:rsidR="005B3C15" w:rsidRPr="00706E04" w:rsidTr="00055B15">
        <w:tc>
          <w:tcPr>
            <w:tcW w:w="1299" w:type="dxa"/>
            <w:vMerge w:val="restart"/>
            <w:tcBorders>
              <w:top w:val="nil"/>
              <w:right w:val="nil"/>
            </w:tcBorders>
            <w:shd w:val="clear" w:color="auto" w:fill="4D7F52"/>
            <w:textDirection w:val="btLr"/>
          </w:tcPr>
          <w:p w:rsidR="005B3C15" w:rsidRPr="005B3C15" w:rsidRDefault="005B3C15"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5B3C15" w:rsidRDefault="005B3C15" w:rsidP="001F251B">
            <w:pPr>
              <w:rPr>
                <w:b/>
                <w:sz w:val="20"/>
                <w:szCs w:val="20"/>
              </w:rPr>
            </w:pPr>
            <w:r>
              <w:rPr>
                <w:b/>
                <w:sz w:val="20"/>
                <w:szCs w:val="20"/>
              </w:rPr>
              <w:t>Tasa de resolución</w:t>
            </w:r>
            <w:r w:rsidR="00815659">
              <w:rPr>
                <w:b/>
                <w:sz w:val="20"/>
                <w:szCs w:val="20"/>
              </w:rPr>
              <w:t xml:space="preserve"> </w:t>
            </w:r>
            <w:r>
              <w:rPr>
                <w:b/>
                <w:sz w:val="20"/>
                <w:szCs w:val="20"/>
              </w:rPr>
              <w:t>(resoluciones expresas /solicitudes tramitadas)</w:t>
            </w:r>
          </w:p>
        </w:tc>
        <w:tc>
          <w:tcPr>
            <w:tcW w:w="1559" w:type="dxa"/>
            <w:vAlign w:val="center"/>
          </w:tcPr>
          <w:p w:rsidR="005B3C15" w:rsidRPr="00DB23FA" w:rsidRDefault="005A0AF5" w:rsidP="00055B15">
            <w:pPr>
              <w:jc w:val="center"/>
              <w:rPr>
                <w:sz w:val="20"/>
                <w:szCs w:val="20"/>
              </w:rPr>
            </w:pPr>
            <w:r>
              <w:rPr>
                <w:sz w:val="20"/>
                <w:szCs w:val="20"/>
              </w:rPr>
              <w:t>79,37</w:t>
            </w:r>
          </w:p>
        </w:tc>
      </w:tr>
      <w:tr w:rsidR="005B3C15" w:rsidRPr="00706E04" w:rsidTr="005B3C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Default="005B3C15" w:rsidP="00817D5D">
            <w:pPr>
              <w:rPr>
                <w:b/>
                <w:sz w:val="20"/>
                <w:szCs w:val="20"/>
              </w:rPr>
            </w:pPr>
            <w:r>
              <w:rPr>
                <w:b/>
                <w:sz w:val="20"/>
                <w:szCs w:val="20"/>
              </w:rPr>
              <w:t xml:space="preserve">Porcentaje de </w:t>
            </w:r>
            <w:r w:rsidR="00817D5D">
              <w:rPr>
                <w:b/>
                <w:sz w:val="20"/>
                <w:szCs w:val="20"/>
              </w:rPr>
              <w:t>resoluciones</w:t>
            </w:r>
            <w:r>
              <w:rPr>
                <w:b/>
                <w:sz w:val="20"/>
                <w:szCs w:val="20"/>
              </w:rPr>
              <w:t xml:space="preserve"> </w:t>
            </w:r>
            <w:r w:rsidR="005A0AF5">
              <w:rPr>
                <w:b/>
                <w:sz w:val="20"/>
                <w:szCs w:val="20"/>
              </w:rPr>
              <w:t>que conceden el acceso</w:t>
            </w:r>
          </w:p>
        </w:tc>
        <w:tc>
          <w:tcPr>
            <w:tcW w:w="1559" w:type="dxa"/>
            <w:vAlign w:val="center"/>
          </w:tcPr>
          <w:p w:rsidR="005B3C15" w:rsidRPr="00DB23FA" w:rsidRDefault="00857CFB" w:rsidP="00055B15">
            <w:pPr>
              <w:jc w:val="center"/>
              <w:rPr>
                <w:sz w:val="20"/>
                <w:szCs w:val="20"/>
              </w:rPr>
            </w:pPr>
            <w:r>
              <w:rPr>
                <w:sz w:val="20"/>
                <w:szCs w:val="20"/>
              </w:rPr>
              <w:t>58,06</w:t>
            </w:r>
          </w:p>
        </w:tc>
      </w:tr>
      <w:tr w:rsidR="005B3C15" w:rsidRPr="00706E04" w:rsidTr="005B3C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Default="005B3C15" w:rsidP="00055B15">
            <w:pPr>
              <w:rPr>
                <w:b/>
                <w:sz w:val="20"/>
                <w:szCs w:val="20"/>
              </w:rPr>
            </w:pPr>
            <w:r>
              <w:rPr>
                <w:b/>
                <w:sz w:val="20"/>
                <w:szCs w:val="20"/>
              </w:rPr>
              <w:t>Porcentaje de resoluciones que conceden acceso parcial</w:t>
            </w:r>
          </w:p>
        </w:tc>
        <w:tc>
          <w:tcPr>
            <w:tcW w:w="1559" w:type="dxa"/>
            <w:vAlign w:val="center"/>
          </w:tcPr>
          <w:p w:rsidR="005B3C15" w:rsidRPr="00DB23FA" w:rsidRDefault="00211694" w:rsidP="00055B15">
            <w:pPr>
              <w:jc w:val="center"/>
              <w:rPr>
                <w:sz w:val="20"/>
                <w:szCs w:val="20"/>
              </w:rPr>
            </w:pPr>
            <w:r>
              <w:rPr>
                <w:sz w:val="20"/>
                <w:szCs w:val="20"/>
              </w:rPr>
              <w:t>12,35</w:t>
            </w:r>
          </w:p>
        </w:tc>
      </w:tr>
      <w:tr w:rsidR="005B3C15" w:rsidRPr="00706E04" w:rsidTr="00055B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Pr="00706E04" w:rsidRDefault="005B3C15" w:rsidP="00055B15">
            <w:pPr>
              <w:rPr>
                <w:b/>
                <w:sz w:val="20"/>
                <w:szCs w:val="20"/>
              </w:rPr>
            </w:pPr>
            <w:r w:rsidRPr="00055B15">
              <w:rPr>
                <w:b/>
                <w:sz w:val="20"/>
                <w:szCs w:val="20"/>
              </w:rPr>
              <w:t>Porcentaje de resoluciones que concede</w:t>
            </w:r>
            <w:r>
              <w:rPr>
                <w:b/>
                <w:sz w:val="20"/>
                <w:szCs w:val="20"/>
              </w:rPr>
              <w:t>n</w:t>
            </w:r>
            <w:r w:rsidRPr="00055B15">
              <w:rPr>
                <w:b/>
                <w:sz w:val="20"/>
                <w:szCs w:val="20"/>
              </w:rPr>
              <w:t xml:space="preserve"> acceso </w:t>
            </w:r>
            <w:r>
              <w:rPr>
                <w:b/>
                <w:sz w:val="20"/>
                <w:szCs w:val="20"/>
              </w:rPr>
              <w:t>total</w:t>
            </w:r>
          </w:p>
        </w:tc>
        <w:tc>
          <w:tcPr>
            <w:tcW w:w="1559" w:type="dxa"/>
            <w:vAlign w:val="center"/>
          </w:tcPr>
          <w:p w:rsidR="005B3C15" w:rsidRPr="00DB23FA" w:rsidRDefault="003123E1" w:rsidP="00055B15">
            <w:pPr>
              <w:jc w:val="center"/>
              <w:rPr>
                <w:sz w:val="20"/>
                <w:szCs w:val="20"/>
              </w:rPr>
            </w:pPr>
            <w:r>
              <w:rPr>
                <w:sz w:val="20"/>
                <w:szCs w:val="20"/>
              </w:rPr>
              <w:t>87,65</w:t>
            </w:r>
          </w:p>
        </w:tc>
      </w:tr>
      <w:tr w:rsidR="005B3C15" w:rsidRPr="00706E04" w:rsidTr="00055B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Pr="00706E04" w:rsidRDefault="005B3C15" w:rsidP="00055B15">
            <w:pPr>
              <w:rPr>
                <w:b/>
                <w:sz w:val="20"/>
                <w:szCs w:val="20"/>
              </w:rPr>
            </w:pPr>
            <w:r>
              <w:rPr>
                <w:b/>
                <w:sz w:val="20"/>
                <w:szCs w:val="20"/>
              </w:rPr>
              <w:t>Porcentaje de resoluciones que deniegan el acceso</w:t>
            </w:r>
          </w:p>
        </w:tc>
        <w:tc>
          <w:tcPr>
            <w:tcW w:w="1559" w:type="dxa"/>
            <w:vAlign w:val="center"/>
          </w:tcPr>
          <w:p w:rsidR="005B3C15" w:rsidRPr="00DB23FA" w:rsidRDefault="003123E1" w:rsidP="00055B15">
            <w:pPr>
              <w:jc w:val="center"/>
              <w:rPr>
                <w:sz w:val="20"/>
                <w:szCs w:val="20"/>
              </w:rPr>
            </w:pPr>
            <w:r>
              <w:rPr>
                <w:sz w:val="20"/>
                <w:szCs w:val="20"/>
              </w:rPr>
              <w:t>2,19</w:t>
            </w:r>
          </w:p>
        </w:tc>
      </w:tr>
      <w:tr w:rsidR="005B3C15" w:rsidRPr="00706E04" w:rsidTr="00055B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Pr="00706E04" w:rsidRDefault="005B3C15" w:rsidP="00055B15">
            <w:pPr>
              <w:rPr>
                <w:b/>
                <w:sz w:val="20"/>
                <w:szCs w:val="20"/>
              </w:rPr>
            </w:pPr>
            <w:r>
              <w:rPr>
                <w:b/>
                <w:sz w:val="20"/>
                <w:szCs w:val="20"/>
              </w:rPr>
              <w:t>Porcentaje de resoluciones que finalizan por silencio administrativo</w:t>
            </w:r>
          </w:p>
        </w:tc>
        <w:tc>
          <w:tcPr>
            <w:tcW w:w="1559" w:type="dxa"/>
            <w:vAlign w:val="center"/>
          </w:tcPr>
          <w:p w:rsidR="005B3C15" w:rsidRPr="00DB23FA" w:rsidRDefault="003123E1" w:rsidP="00055B15">
            <w:pPr>
              <w:jc w:val="center"/>
              <w:rPr>
                <w:sz w:val="20"/>
                <w:szCs w:val="20"/>
              </w:rPr>
            </w:pPr>
            <w:r>
              <w:rPr>
                <w:sz w:val="20"/>
                <w:szCs w:val="20"/>
              </w:rPr>
              <w:t>3,97</w:t>
            </w:r>
          </w:p>
        </w:tc>
      </w:tr>
      <w:tr w:rsidR="005B3C15" w:rsidRPr="00706E04" w:rsidTr="00055B15">
        <w:tc>
          <w:tcPr>
            <w:tcW w:w="1299" w:type="dxa"/>
            <w:vMerge/>
            <w:tcBorders>
              <w:right w:val="nil"/>
            </w:tcBorders>
            <w:shd w:val="clear" w:color="auto" w:fill="4D7F52"/>
            <w:textDirection w:val="btLr"/>
          </w:tcPr>
          <w:p w:rsidR="005B3C15" w:rsidRPr="005B3C15" w:rsidRDefault="005B3C15" w:rsidP="00055B15">
            <w:pPr>
              <w:ind w:left="113" w:right="113"/>
              <w:jc w:val="center"/>
              <w:rPr>
                <w:b/>
                <w:color w:val="FFFFFF" w:themeColor="background1"/>
              </w:rPr>
            </w:pPr>
          </w:p>
        </w:tc>
        <w:tc>
          <w:tcPr>
            <w:tcW w:w="6322" w:type="dxa"/>
            <w:tcBorders>
              <w:left w:val="nil"/>
            </w:tcBorders>
          </w:tcPr>
          <w:p w:rsidR="005B3C15" w:rsidRPr="00706E04" w:rsidRDefault="005B3C15" w:rsidP="00F23273">
            <w:pPr>
              <w:rPr>
                <w:b/>
                <w:sz w:val="20"/>
                <w:szCs w:val="20"/>
              </w:rPr>
            </w:pPr>
            <w:r>
              <w:rPr>
                <w:b/>
                <w:sz w:val="20"/>
                <w:szCs w:val="20"/>
              </w:rPr>
              <w:t xml:space="preserve">Porcentaje de </w:t>
            </w:r>
            <w:r w:rsidR="00F23273">
              <w:rPr>
                <w:b/>
                <w:sz w:val="20"/>
                <w:szCs w:val="20"/>
              </w:rPr>
              <w:t>solicitudes</w:t>
            </w:r>
            <w:r>
              <w:rPr>
                <w:b/>
                <w:sz w:val="20"/>
                <w:szCs w:val="20"/>
              </w:rPr>
              <w:t xml:space="preserve"> finalizadas por desistimiento y otras causas</w:t>
            </w:r>
          </w:p>
        </w:tc>
        <w:tc>
          <w:tcPr>
            <w:tcW w:w="1559" w:type="dxa"/>
            <w:vAlign w:val="center"/>
          </w:tcPr>
          <w:p w:rsidR="005B3C15" w:rsidRPr="00DB23FA" w:rsidRDefault="003123E1" w:rsidP="00055B15">
            <w:pPr>
              <w:jc w:val="center"/>
              <w:rPr>
                <w:sz w:val="20"/>
                <w:szCs w:val="20"/>
              </w:rPr>
            </w:pPr>
            <w:r>
              <w:rPr>
                <w:sz w:val="20"/>
                <w:szCs w:val="20"/>
              </w:rPr>
              <w:t>39,75</w:t>
            </w:r>
          </w:p>
        </w:tc>
      </w:tr>
    </w:tbl>
    <w:p w:rsidR="00055B15" w:rsidRDefault="00055B15" w:rsidP="00B812AB"/>
    <w:p w:rsidR="001F251B" w:rsidRDefault="001F251B" w:rsidP="00B812AB"/>
    <w:p w:rsidR="00C6758C" w:rsidRDefault="00C6758C" w:rsidP="00B812AB"/>
    <w:p w:rsidR="00C6758C" w:rsidRDefault="00C6758C" w:rsidP="00B812AB"/>
    <w:p w:rsidR="00C6758C" w:rsidRDefault="00C6758C" w:rsidP="00B812AB"/>
    <w:p w:rsidR="00C6758C" w:rsidRDefault="00C6758C" w:rsidP="00B812AB"/>
    <w:p w:rsidR="00C6758C" w:rsidRDefault="00C6758C" w:rsidP="00B812AB"/>
    <w:p w:rsidR="00176A94" w:rsidRDefault="00176A94" w:rsidP="00B812AB"/>
    <w:p w:rsidR="00B812AB" w:rsidRPr="00E34195" w:rsidRDefault="004F4B96"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  ejercicio del derecho de acceso</w:t>
          </w:r>
        </w:sdtContent>
      </w:sdt>
    </w:p>
    <w:p w:rsidR="00176A94" w:rsidRDefault="00EB1C95" w:rsidP="00B73B68">
      <w:pPr>
        <w:ind w:left="426"/>
      </w:pPr>
      <w:r>
        <w:t>La AGE, dispone de un acceso específico situado en la parte superior de la página home del Portal de Transparencia. También se localiza información en el acceso “Más información”.</w:t>
      </w:r>
    </w:p>
    <w:p w:rsidR="00EB1C95" w:rsidRDefault="00EB1C95" w:rsidP="00B73B68">
      <w:pPr>
        <w:ind w:left="426"/>
      </w:pPr>
      <w:r w:rsidRPr="00EB1C95">
        <w:t>A través del enlace “solicite información” se informa sobre la posibilidad de que los ciudadanos ejerciten su derecho de acceso a la información pública.</w:t>
      </w:r>
    </w:p>
    <w:p w:rsidR="00EB1C95" w:rsidRDefault="00EB1C95" w:rsidP="00B73B68">
      <w:pPr>
        <w:ind w:left="426"/>
        <w:jc w:val="both"/>
      </w:pPr>
      <w:r>
        <w:t>El PTAGE también informa de los medios habilitados para la presentación de solicitudes: p</w:t>
      </w:r>
      <w:r w:rsidRPr="00EB1C95">
        <w:t>resentación telemática, oficinas de correos, registros administrativos, representaciones diplomáticas y consulares.</w:t>
      </w:r>
    </w:p>
    <w:p w:rsidR="00EB1C95" w:rsidRDefault="00EB1C95" w:rsidP="00B73B68">
      <w:pPr>
        <w:ind w:left="426"/>
        <w:jc w:val="both"/>
      </w:pPr>
      <w:r>
        <w:t>Si la presentación es telemática se exige i</w:t>
      </w:r>
      <w:r w:rsidRPr="00EB1C95">
        <w:t xml:space="preserve">dentificación a través de </w:t>
      </w:r>
      <w:proofErr w:type="spellStart"/>
      <w:r w:rsidRPr="00EB1C95">
        <w:t>Cl@ve</w:t>
      </w:r>
      <w:proofErr w:type="spellEnd"/>
      <w:r w:rsidRPr="00EB1C95">
        <w:t xml:space="preserve"> (</w:t>
      </w:r>
      <w:proofErr w:type="spellStart"/>
      <w:r w:rsidRPr="00EB1C95">
        <w:t>DNIe</w:t>
      </w:r>
      <w:proofErr w:type="spellEnd"/>
      <w:r w:rsidRPr="00EB1C95">
        <w:t xml:space="preserve"> o certificado electrónico) o de código de acceso.</w:t>
      </w:r>
    </w:p>
    <w:p w:rsidR="00EB1C95" w:rsidRPr="00EB1C95" w:rsidRDefault="00EB1C95" w:rsidP="00B73B68">
      <w:pPr>
        <w:ind w:left="426"/>
        <w:jc w:val="both"/>
      </w:pPr>
      <w:r>
        <w:t>Se proporciona un f</w:t>
      </w:r>
      <w:r w:rsidRPr="00EB1C95">
        <w:t xml:space="preserve">ormulario </w:t>
      </w:r>
      <w:r>
        <w:t xml:space="preserve">para la presentación de las solicitudes </w:t>
      </w:r>
      <w:r w:rsidRPr="00EB1C95">
        <w:t xml:space="preserve">una vez que se realiza la identificación. También se publican recomendaciones y una guía  para ejercer el derecho de acceso que se publica sobre la web y en forma de </w:t>
      </w:r>
      <w:proofErr w:type="spellStart"/>
      <w:r w:rsidRPr="00EB1C95">
        <w:t>FAQs</w:t>
      </w:r>
      <w:proofErr w:type="spellEnd"/>
      <w:r w:rsidRPr="00EB1C95">
        <w:t>.</w:t>
      </w:r>
    </w:p>
    <w:p w:rsidR="00561402" w:rsidRPr="002F77CB" w:rsidRDefault="00B73B68" w:rsidP="00B73B68">
      <w:pPr>
        <w:ind w:left="426"/>
        <w:jc w:val="both"/>
        <w:rPr>
          <w:b/>
          <w:color w:val="00642D"/>
        </w:rPr>
      </w:pPr>
      <w:r>
        <w:t xml:space="preserve">Finalmente el PTAGE facilita la </w:t>
      </w:r>
      <w:r w:rsidR="00711598" w:rsidRPr="002F77CB">
        <w:t>opción de notificación por correo electrónico para recibir información sobre el estado</w:t>
      </w:r>
      <w:r>
        <w:t xml:space="preserve"> de tramitación de la solicitud. También posibilita opciones</w:t>
      </w:r>
      <w:r w:rsidR="00711598" w:rsidRPr="002F77CB">
        <w:t xml:space="preserve"> de notificación por correo postal o a través del Portal.</w:t>
      </w:r>
    </w:p>
    <w:p w:rsidR="00B40246" w:rsidRPr="00E34195" w:rsidRDefault="004F4B96"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932008" w:rsidRDefault="00E3088D" w:rsidP="00E3088D">
      <w:pPr>
        <w:pStyle w:val="Cuerpodelboletn"/>
        <w:spacing w:before="120" w:after="120" w:line="312" w:lineRule="auto"/>
        <w:ind w:left="360"/>
        <w:rPr>
          <w:rStyle w:val="Hipervnculo"/>
          <w:lang w:bidi="es-ES"/>
        </w:rPr>
      </w:pPr>
      <w:r w:rsidRPr="00841C53">
        <w:rPr>
          <w:color w:val="auto"/>
          <w:lang w:bidi="es-ES"/>
        </w:rPr>
        <w:t xml:space="preserve"> </w:t>
      </w:r>
      <w:r w:rsidR="00841C53" w:rsidRPr="00841C53">
        <w:rPr>
          <w:color w:val="auto"/>
          <w:lang w:bidi="es-ES"/>
        </w:rPr>
        <w:t xml:space="preserve">La </w:t>
      </w:r>
      <w:r w:rsidR="00841C53">
        <w:rPr>
          <w:color w:val="auto"/>
          <w:lang w:bidi="es-ES"/>
        </w:rPr>
        <w:t xml:space="preserve">evaluación de la gestión de las solicitudes de acceso a la información pública por la Administración General del Estado se realizó en 2020. Los resultados de esta evaluación están recogidos en las páginas 28 a 33 y 102 a 104 de la Memoria de actividades del CTBG 2019. La memoria es accesible a través del enlace: </w:t>
      </w:r>
      <w:hyperlink r:id="rId13" w:history="1">
        <w:r w:rsidR="00841C53" w:rsidRPr="00841C53">
          <w:rPr>
            <w:rStyle w:val="Hipervnculo"/>
            <w:lang w:bidi="es-ES"/>
          </w:rPr>
          <w:t>Memoria del año 2019 - Memorias y Plan estratégico - Actividad - Consejo Transparencia y Buen Gobierno</w:t>
        </w:r>
      </w:hyperlink>
    </w:p>
    <w:p w:rsidR="00B73B68" w:rsidRPr="00841C53" w:rsidRDefault="00B73B68" w:rsidP="00E3088D">
      <w:pPr>
        <w:pStyle w:val="Cuerpodelboletn"/>
        <w:spacing w:before="120" w:after="120" w:line="312" w:lineRule="auto"/>
        <w:ind w:left="360"/>
        <w:rPr>
          <w:rStyle w:val="Ttulo2Car"/>
          <w:color w:val="auto"/>
          <w:lang w:bidi="es-ES"/>
        </w:rPr>
      </w:pPr>
    </w:p>
    <w:p w:rsidR="00256215" w:rsidRPr="00256215" w:rsidRDefault="004F4B96" w:rsidP="00B73B68">
      <w:pPr>
        <w:pStyle w:val="Cuerpodelboletn"/>
        <w:spacing w:before="120" w:after="120" w:line="312" w:lineRule="auto"/>
        <w:rPr>
          <w:b/>
          <w:color w:val="00642D"/>
          <w:sz w:val="32"/>
        </w:rPr>
      </w:pPr>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r w:rsidR="00256215" w:rsidRPr="00256215">
            <w:rPr>
              <w:b/>
              <w:color w:val="00642D"/>
              <w:sz w:val="30"/>
              <w:szCs w:val="30"/>
            </w:rPr>
            <w:t xml:space="preserve">V. </w:t>
          </w:r>
          <w:r w:rsidR="00256215">
            <w:rPr>
              <w:b/>
              <w:color w:val="00642D"/>
              <w:sz w:val="30"/>
              <w:szCs w:val="30"/>
            </w:rPr>
            <w:t>Reclamaciones ante el Consejo de Transparencia</w:t>
          </w:r>
          <w:r w:rsidR="00EE5BDF">
            <w:rPr>
              <w:b/>
              <w:color w:val="00642D"/>
              <w:sz w:val="30"/>
              <w:szCs w:val="30"/>
            </w:rPr>
            <w:t xml:space="preserve"> y Buen Gobierno</w:t>
          </w:r>
          <w:r w:rsidR="00256215" w:rsidRPr="00256215">
            <w:rPr>
              <w:b/>
              <w:color w:val="00642D"/>
              <w:sz w:val="30"/>
              <w:szCs w:val="30"/>
            </w:rPr>
            <w:t xml:space="preserve"> </w:t>
          </w:r>
          <w:r w:rsidR="009F2810">
            <w:rPr>
              <w:b/>
              <w:color w:val="00642D"/>
              <w:sz w:val="30"/>
              <w:szCs w:val="30"/>
            </w:rPr>
            <w:t>en el periodo 2015-2020.</w:t>
          </w:r>
        </w:sdtContent>
      </w:sdt>
    </w:p>
    <w:p w:rsidR="00256215" w:rsidRDefault="00256215" w:rsidP="00256215">
      <w:pPr>
        <w:pStyle w:val="Cuerpodelboletn"/>
      </w:pPr>
    </w:p>
    <w:p w:rsidR="00B73B68" w:rsidRDefault="00B73B68" w:rsidP="00B73B68">
      <w:pPr>
        <w:pStyle w:val="Cuerpodelboletn"/>
        <w:spacing w:line="276" w:lineRule="auto"/>
        <w:ind w:left="426"/>
        <w:rPr>
          <w:color w:val="auto"/>
        </w:rPr>
      </w:pPr>
      <w:r>
        <w:rPr>
          <w:color w:val="auto"/>
        </w:rPr>
        <w:t>El CTBG ha recibido un total de 2.935</w:t>
      </w:r>
      <w:r w:rsidRPr="00B73B68">
        <w:rPr>
          <w:color w:val="auto"/>
          <w:vertAlign w:val="superscript"/>
        </w:rPr>
        <w:t>1</w:t>
      </w:r>
      <w:r>
        <w:rPr>
          <w:color w:val="auto"/>
        </w:rPr>
        <w:t xml:space="preserve"> reclamaciones contra resoluciones de la AGE en materia de acceso a la información pública. De éstas, 1.310 fueron estimadas y 1.024 fueron desestimadas.</w:t>
      </w:r>
    </w:p>
    <w:p w:rsidR="00B73B68" w:rsidRDefault="00B73B68" w:rsidP="00B73B68">
      <w:pPr>
        <w:pStyle w:val="Cuerpodelboletn"/>
        <w:spacing w:line="276" w:lineRule="auto"/>
        <w:ind w:left="426"/>
        <w:rPr>
          <w:color w:val="auto"/>
        </w:rPr>
      </w:pPr>
      <w:r>
        <w:rPr>
          <w:color w:val="auto"/>
        </w:rPr>
        <w:t xml:space="preserve">Por lo tanto, de las 26 reclamaciones admitidas a trámite, un 43,87% han sido favorables a la entidad y un 56,12% a los reclamantes. </w:t>
      </w:r>
    </w:p>
    <w:p w:rsidR="00B73B68" w:rsidRDefault="00B73B68" w:rsidP="00B73B68">
      <w:pPr>
        <w:pStyle w:val="Cuerpodelboletn"/>
        <w:spacing w:line="276" w:lineRule="auto"/>
        <w:ind w:left="426"/>
        <w:rPr>
          <w:color w:val="auto"/>
        </w:rPr>
      </w:pPr>
      <w:r>
        <w:rPr>
          <w:color w:val="auto"/>
        </w:rPr>
        <w:t xml:space="preserve">Se ha presentado recurso contencioso-administrativo contra 104 resoluciones del CTBG, lo que sitúa la tasa de litigiosidad en el 7,94%. En cuanto a la resolución de estos recursos, </w:t>
      </w:r>
      <w:r w:rsidR="009F2810">
        <w:rPr>
          <w:color w:val="auto"/>
        </w:rPr>
        <w:t xml:space="preserve">un </w:t>
      </w:r>
      <w:r w:rsidR="009F2810">
        <w:rPr>
          <w:color w:val="auto"/>
        </w:rPr>
        <w:lastRenderedPageBreak/>
        <w:t>58,18% de las sentencias que han adquirido firmeza fue favorable a la entidad y un 41,82%</w:t>
      </w:r>
      <w:r>
        <w:rPr>
          <w:color w:val="auto"/>
        </w:rPr>
        <w:t xml:space="preserve"> al CTBG. </w:t>
      </w:r>
    </w:p>
    <w:p w:rsidR="009F2810" w:rsidRPr="003456B5" w:rsidRDefault="009F2810" w:rsidP="009F2810">
      <w:pPr>
        <w:pStyle w:val="Epgrafe"/>
        <w:keepNext/>
        <w:ind w:left="426"/>
        <w:rPr>
          <w:rStyle w:val="Ttulo2Car"/>
          <w:b/>
          <w:color w:val="00642D"/>
          <w:sz w:val="22"/>
          <w:szCs w:val="22"/>
          <w:lang w:bidi="es-ES"/>
        </w:rPr>
      </w:pPr>
      <w:r w:rsidRPr="003456B5">
        <w:rPr>
          <w:rStyle w:val="Ttulo2Car"/>
          <w:b/>
          <w:color w:val="00642D"/>
          <w:sz w:val="22"/>
          <w:szCs w:val="22"/>
          <w:lang w:bidi="es-ES"/>
        </w:rPr>
        <w:t xml:space="preserve">Tabla </w:t>
      </w:r>
      <w:r w:rsidRPr="003456B5">
        <w:rPr>
          <w:rStyle w:val="Ttulo2Car"/>
          <w:b/>
          <w:color w:val="00642D"/>
          <w:sz w:val="22"/>
          <w:szCs w:val="22"/>
          <w:lang w:bidi="es-ES"/>
        </w:rPr>
        <w:fldChar w:fldCharType="begin"/>
      </w:r>
      <w:r w:rsidRPr="003456B5">
        <w:rPr>
          <w:rStyle w:val="Ttulo2Car"/>
          <w:b/>
          <w:color w:val="00642D"/>
          <w:sz w:val="22"/>
          <w:szCs w:val="22"/>
          <w:lang w:bidi="es-ES"/>
        </w:rPr>
        <w:instrText xml:space="preserve"> SEQ Tabla \* ARABIC </w:instrText>
      </w:r>
      <w:r w:rsidRPr="003456B5">
        <w:rPr>
          <w:rStyle w:val="Ttulo2Car"/>
          <w:b/>
          <w:color w:val="00642D"/>
          <w:sz w:val="22"/>
          <w:szCs w:val="22"/>
          <w:lang w:bidi="es-ES"/>
        </w:rPr>
        <w:fldChar w:fldCharType="separate"/>
      </w:r>
      <w:r w:rsidRPr="003456B5">
        <w:rPr>
          <w:rStyle w:val="Ttulo2Car"/>
          <w:b/>
          <w:color w:val="00642D"/>
          <w:sz w:val="22"/>
          <w:szCs w:val="22"/>
          <w:lang w:bidi="es-ES"/>
        </w:rPr>
        <w:t>3</w:t>
      </w:r>
      <w:r w:rsidRPr="003456B5">
        <w:rPr>
          <w:rStyle w:val="Ttulo2Car"/>
          <w:b/>
          <w:color w:val="00642D"/>
          <w:sz w:val="22"/>
          <w:szCs w:val="22"/>
          <w:lang w:bidi="es-ES"/>
        </w:rPr>
        <w:fldChar w:fldCharType="end"/>
      </w:r>
      <w:r w:rsidRPr="003456B5">
        <w:rPr>
          <w:rStyle w:val="Ttulo2Car"/>
          <w:b/>
          <w:color w:val="00642D"/>
          <w:sz w:val="22"/>
          <w:szCs w:val="22"/>
          <w:lang w:bidi="es-ES"/>
        </w:rPr>
        <w:t>: Reclamaciones ante el Consejo de Transparencia y Buen Gobierno</w:t>
      </w:r>
    </w:p>
    <w:tbl>
      <w:tblPr>
        <w:tblStyle w:val="Tablaconcuadrcula"/>
        <w:tblW w:w="0" w:type="auto"/>
        <w:tblLook w:val="04A0" w:firstRow="1" w:lastRow="0" w:firstColumn="1" w:lastColumn="0" w:noHBand="0" w:noVBand="1"/>
      </w:tblPr>
      <w:tblGrid>
        <w:gridCol w:w="1299"/>
        <w:gridCol w:w="4479"/>
        <w:gridCol w:w="1843"/>
        <w:gridCol w:w="1559"/>
      </w:tblGrid>
      <w:tr w:rsidR="00B73B68" w:rsidRPr="0048443D" w:rsidTr="00B73B68">
        <w:tc>
          <w:tcPr>
            <w:tcW w:w="1299" w:type="dxa"/>
            <w:vMerge w:val="restart"/>
            <w:tcBorders>
              <w:top w:val="single" w:sz="4" w:space="0" w:color="FFFFFF" w:themeColor="background1"/>
              <w:right w:val="nil"/>
            </w:tcBorders>
            <w:shd w:val="clear" w:color="auto" w:fill="4D7F52"/>
            <w:textDirection w:val="btLr"/>
          </w:tcPr>
          <w:p w:rsidR="00B73B68" w:rsidRPr="0048443D" w:rsidRDefault="00B73B68" w:rsidP="00B73B68">
            <w:pPr>
              <w:ind w:left="113" w:right="113"/>
              <w:jc w:val="center"/>
              <w:rPr>
                <w:color w:val="FFFFFF" w:themeColor="background1"/>
              </w:rPr>
            </w:pPr>
          </w:p>
        </w:tc>
        <w:tc>
          <w:tcPr>
            <w:tcW w:w="6322" w:type="dxa"/>
            <w:gridSpan w:val="2"/>
            <w:tcBorders>
              <w:left w:val="nil"/>
            </w:tcBorders>
          </w:tcPr>
          <w:p w:rsidR="00B73B68" w:rsidRPr="0048443D" w:rsidRDefault="00B73B68" w:rsidP="00B73B68">
            <w:pPr>
              <w:rPr>
                <w:sz w:val="20"/>
                <w:szCs w:val="20"/>
              </w:rPr>
            </w:pPr>
            <w:r w:rsidRPr="0048443D">
              <w:rPr>
                <w:sz w:val="20"/>
                <w:szCs w:val="20"/>
              </w:rPr>
              <w:t>Nº de Resoluciones de la entidad recurridas ante el CTBG</w:t>
            </w:r>
          </w:p>
        </w:tc>
        <w:tc>
          <w:tcPr>
            <w:tcW w:w="1559" w:type="dxa"/>
            <w:vAlign w:val="center"/>
          </w:tcPr>
          <w:p w:rsidR="00B73B68" w:rsidRPr="0048443D" w:rsidRDefault="00B73B68" w:rsidP="00B73B68">
            <w:pPr>
              <w:jc w:val="center"/>
              <w:rPr>
                <w:sz w:val="20"/>
                <w:szCs w:val="20"/>
              </w:rPr>
            </w:pPr>
            <w:r w:rsidRPr="0048443D">
              <w:rPr>
                <w:sz w:val="20"/>
                <w:szCs w:val="20"/>
              </w:rPr>
              <w:t>2.935</w:t>
            </w:r>
            <w:r w:rsidRPr="0048443D">
              <w:rPr>
                <w:rStyle w:val="Refdenotaalpie"/>
                <w:sz w:val="20"/>
                <w:szCs w:val="20"/>
              </w:rPr>
              <w:footnoteReference w:id="2"/>
            </w:r>
          </w:p>
        </w:tc>
      </w:tr>
      <w:tr w:rsidR="00B73B68" w:rsidRPr="0048443D" w:rsidTr="00B73B68">
        <w:trPr>
          <w:trHeight w:val="248"/>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val="restart"/>
            <w:tcBorders>
              <w:left w:val="nil"/>
            </w:tcBorders>
          </w:tcPr>
          <w:p w:rsidR="00B73B68" w:rsidRPr="0048443D" w:rsidRDefault="00B73B68" w:rsidP="00B73B68">
            <w:pPr>
              <w:rPr>
                <w:sz w:val="20"/>
                <w:szCs w:val="20"/>
              </w:rPr>
            </w:pPr>
            <w:r w:rsidRPr="0048443D">
              <w:rPr>
                <w:sz w:val="20"/>
                <w:szCs w:val="20"/>
              </w:rPr>
              <w:t>Nº de Resoluciones del CTBG favorables a la entidad</w:t>
            </w:r>
          </w:p>
        </w:tc>
        <w:tc>
          <w:tcPr>
            <w:tcW w:w="1843" w:type="dxa"/>
            <w:tcBorders>
              <w:left w:val="nil"/>
            </w:tcBorders>
          </w:tcPr>
          <w:p w:rsidR="00B73B68" w:rsidRPr="0048443D" w:rsidRDefault="00B73B68" w:rsidP="00B73B68">
            <w:pPr>
              <w:rPr>
                <w:sz w:val="20"/>
                <w:szCs w:val="20"/>
              </w:rPr>
            </w:pPr>
            <w:r w:rsidRPr="0048443D">
              <w:rPr>
                <w:sz w:val="20"/>
                <w:szCs w:val="20"/>
              </w:rPr>
              <w:t>Nº</w:t>
            </w:r>
          </w:p>
        </w:tc>
        <w:tc>
          <w:tcPr>
            <w:tcW w:w="1559" w:type="dxa"/>
            <w:vAlign w:val="center"/>
          </w:tcPr>
          <w:p w:rsidR="00B73B68" w:rsidRPr="0048443D" w:rsidRDefault="00B73B68" w:rsidP="00B73B68">
            <w:pPr>
              <w:jc w:val="center"/>
              <w:rPr>
                <w:sz w:val="20"/>
                <w:szCs w:val="20"/>
              </w:rPr>
            </w:pPr>
            <w:r w:rsidRPr="0048443D">
              <w:rPr>
                <w:sz w:val="20"/>
                <w:szCs w:val="20"/>
              </w:rPr>
              <w:t>1.024</w:t>
            </w:r>
          </w:p>
        </w:tc>
      </w:tr>
      <w:tr w:rsidR="00B73B68" w:rsidRPr="0048443D" w:rsidTr="00B73B68">
        <w:trPr>
          <w:trHeight w:val="247"/>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tcBorders>
              <w:left w:val="nil"/>
            </w:tcBorders>
          </w:tcPr>
          <w:p w:rsidR="00B73B68" w:rsidRPr="0048443D" w:rsidRDefault="00B73B68" w:rsidP="00B73B68">
            <w:pPr>
              <w:rPr>
                <w:sz w:val="20"/>
                <w:szCs w:val="20"/>
              </w:rPr>
            </w:pPr>
          </w:p>
        </w:tc>
        <w:tc>
          <w:tcPr>
            <w:tcW w:w="1843" w:type="dxa"/>
            <w:tcBorders>
              <w:left w:val="nil"/>
            </w:tcBorders>
          </w:tcPr>
          <w:p w:rsidR="00B73B68" w:rsidRPr="0048443D" w:rsidRDefault="00B73B68" w:rsidP="00B73B68">
            <w:pPr>
              <w:rPr>
                <w:sz w:val="20"/>
                <w:szCs w:val="20"/>
              </w:rPr>
            </w:pPr>
            <w:r w:rsidRPr="0048443D">
              <w:rPr>
                <w:sz w:val="20"/>
                <w:szCs w:val="20"/>
              </w:rPr>
              <w:t>Porcentaje</w:t>
            </w:r>
          </w:p>
        </w:tc>
        <w:tc>
          <w:tcPr>
            <w:tcW w:w="1559" w:type="dxa"/>
            <w:vAlign w:val="center"/>
          </w:tcPr>
          <w:p w:rsidR="00B73B68" w:rsidRPr="0048443D" w:rsidRDefault="00B73B68" w:rsidP="00B73B68">
            <w:pPr>
              <w:jc w:val="center"/>
              <w:rPr>
                <w:sz w:val="20"/>
                <w:szCs w:val="20"/>
              </w:rPr>
            </w:pPr>
            <w:r>
              <w:rPr>
                <w:sz w:val="20"/>
                <w:szCs w:val="20"/>
              </w:rPr>
              <w:t>43,87</w:t>
            </w:r>
          </w:p>
        </w:tc>
      </w:tr>
      <w:tr w:rsidR="00B73B68" w:rsidRPr="0048443D" w:rsidTr="00B73B68">
        <w:trPr>
          <w:trHeight w:val="248"/>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val="restart"/>
            <w:tcBorders>
              <w:left w:val="nil"/>
            </w:tcBorders>
          </w:tcPr>
          <w:p w:rsidR="00B73B68" w:rsidRPr="0048443D" w:rsidRDefault="00B73B68" w:rsidP="00B73B68">
            <w:pPr>
              <w:rPr>
                <w:sz w:val="20"/>
                <w:szCs w:val="20"/>
              </w:rPr>
            </w:pPr>
            <w:r w:rsidRPr="0048443D">
              <w:rPr>
                <w:sz w:val="20"/>
                <w:szCs w:val="20"/>
              </w:rPr>
              <w:t>Nº de Resoluciones del CTBG favorables a los reclamantes</w:t>
            </w:r>
          </w:p>
        </w:tc>
        <w:tc>
          <w:tcPr>
            <w:tcW w:w="1843" w:type="dxa"/>
            <w:tcBorders>
              <w:left w:val="nil"/>
            </w:tcBorders>
          </w:tcPr>
          <w:p w:rsidR="00B73B68" w:rsidRPr="0048443D" w:rsidRDefault="00B73B68" w:rsidP="00B73B68">
            <w:pPr>
              <w:rPr>
                <w:sz w:val="20"/>
                <w:szCs w:val="20"/>
              </w:rPr>
            </w:pPr>
            <w:r w:rsidRPr="0048443D">
              <w:rPr>
                <w:sz w:val="20"/>
                <w:szCs w:val="20"/>
              </w:rPr>
              <w:t>Nº</w:t>
            </w:r>
          </w:p>
        </w:tc>
        <w:tc>
          <w:tcPr>
            <w:tcW w:w="1559" w:type="dxa"/>
            <w:vAlign w:val="center"/>
          </w:tcPr>
          <w:p w:rsidR="00B73B68" w:rsidRPr="0048443D" w:rsidRDefault="00B73B68" w:rsidP="00B73B68">
            <w:pPr>
              <w:jc w:val="center"/>
              <w:rPr>
                <w:sz w:val="20"/>
                <w:szCs w:val="20"/>
              </w:rPr>
            </w:pPr>
            <w:r w:rsidRPr="0048443D">
              <w:rPr>
                <w:sz w:val="20"/>
                <w:szCs w:val="20"/>
              </w:rPr>
              <w:t>1.310</w:t>
            </w:r>
          </w:p>
        </w:tc>
      </w:tr>
      <w:tr w:rsidR="00B73B68" w:rsidRPr="0048443D" w:rsidTr="00B73B68">
        <w:trPr>
          <w:trHeight w:val="247"/>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tcBorders>
              <w:left w:val="nil"/>
            </w:tcBorders>
          </w:tcPr>
          <w:p w:rsidR="00B73B68" w:rsidRPr="0048443D" w:rsidRDefault="00B73B68" w:rsidP="00B73B68">
            <w:pPr>
              <w:rPr>
                <w:sz w:val="20"/>
                <w:szCs w:val="20"/>
              </w:rPr>
            </w:pPr>
          </w:p>
        </w:tc>
        <w:tc>
          <w:tcPr>
            <w:tcW w:w="1843" w:type="dxa"/>
            <w:tcBorders>
              <w:left w:val="nil"/>
            </w:tcBorders>
          </w:tcPr>
          <w:p w:rsidR="00B73B68" w:rsidRPr="0048443D" w:rsidRDefault="00B73B68" w:rsidP="00B73B68">
            <w:pPr>
              <w:rPr>
                <w:sz w:val="20"/>
                <w:szCs w:val="20"/>
              </w:rPr>
            </w:pPr>
            <w:r w:rsidRPr="0048443D">
              <w:rPr>
                <w:sz w:val="20"/>
                <w:szCs w:val="20"/>
              </w:rPr>
              <w:t>Porcentaje</w:t>
            </w:r>
          </w:p>
        </w:tc>
        <w:tc>
          <w:tcPr>
            <w:tcW w:w="1559" w:type="dxa"/>
            <w:vAlign w:val="center"/>
          </w:tcPr>
          <w:p w:rsidR="00B73B68" w:rsidRPr="0048443D" w:rsidRDefault="00B73B68" w:rsidP="00B73B68">
            <w:pPr>
              <w:jc w:val="center"/>
              <w:rPr>
                <w:sz w:val="20"/>
                <w:szCs w:val="20"/>
              </w:rPr>
            </w:pPr>
            <w:r>
              <w:rPr>
                <w:sz w:val="20"/>
                <w:szCs w:val="20"/>
              </w:rPr>
              <w:t>56,12</w:t>
            </w:r>
          </w:p>
        </w:tc>
      </w:tr>
      <w:tr w:rsidR="00B73B68" w:rsidRPr="0048443D" w:rsidTr="00B73B68">
        <w:tc>
          <w:tcPr>
            <w:tcW w:w="1299" w:type="dxa"/>
            <w:vMerge/>
            <w:tcBorders>
              <w:right w:val="nil"/>
            </w:tcBorders>
            <w:shd w:val="clear" w:color="auto" w:fill="4D7F52"/>
          </w:tcPr>
          <w:p w:rsidR="00B73B68" w:rsidRPr="0048443D" w:rsidRDefault="00B73B68" w:rsidP="00B73B68">
            <w:pPr>
              <w:ind w:left="113" w:right="113"/>
              <w:jc w:val="center"/>
            </w:pPr>
          </w:p>
        </w:tc>
        <w:tc>
          <w:tcPr>
            <w:tcW w:w="6322" w:type="dxa"/>
            <w:gridSpan w:val="2"/>
            <w:tcBorders>
              <w:left w:val="nil"/>
            </w:tcBorders>
          </w:tcPr>
          <w:p w:rsidR="00B73B68" w:rsidRPr="0048443D" w:rsidRDefault="00B73B68" w:rsidP="00B73B68">
            <w:pPr>
              <w:rPr>
                <w:sz w:val="20"/>
                <w:szCs w:val="20"/>
              </w:rPr>
            </w:pPr>
            <w:r w:rsidRPr="0048443D">
              <w:rPr>
                <w:sz w:val="20"/>
                <w:szCs w:val="20"/>
              </w:rPr>
              <w:t>Nº de Resoluciones del CTBG favorables a los reclamantes recurridas ante la jurisdicción contencioso-administrativa</w:t>
            </w:r>
          </w:p>
        </w:tc>
        <w:tc>
          <w:tcPr>
            <w:tcW w:w="1559" w:type="dxa"/>
            <w:vAlign w:val="center"/>
          </w:tcPr>
          <w:p w:rsidR="00B73B68" w:rsidRPr="0048443D" w:rsidRDefault="00B73B68" w:rsidP="00B73B68">
            <w:pPr>
              <w:jc w:val="center"/>
              <w:rPr>
                <w:sz w:val="20"/>
                <w:szCs w:val="20"/>
              </w:rPr>
            </w:pPr>
            <w:r w:rsidRPr="0048443D">
              <w:rPr>
                <w:sz w:val="20"/>
                <w:szCs w:val="20"/>
              </w:rPr>
              <w:t>104</w:t>
            </w:r>
          </w:p>
        </w:tc>
      </w:tr>
      <w:tr w:rsidR="00B73B68" w:rsidRPr="0048443D" w:rsidTr="00B73B68">
        <w:tc>
          <w:tcPr>
            <w:tcW w:w="1299" w:type="dxa"/>
            <w:vMerge/>
            <w:tcBorders>
              <w:right w:val="nil"/>
            </w:tcBorders>
            <w:shd w:val="clear" w:color="auto" w:fill="4D7F52"/>
          </w:tcPr>
          <w:p w:rsidR="00B73B68" w:rsidRPr="0048443D" w:rsidRDefault="00B73B68" w:rsidP="00B73B68">
            <w:pPr>
              <w:ind w:left="113" w:right="113"/>
              <w:jc w:val="center"/>
            </w:pPr>
          </w:p>
        </w:tc>
        <w:tc>
          <w:tcPr>
            <w:tcW w:w="6322" w:type="dxa"/>
            <w:gridSpan w:val="2"/>
            <w:tcBorders>
              <w:left w:val="nil"/>
            </w:tcBorders>
          </w:tcPr>
          <w:p w:rsidR="00B73B68" w:rsidRPr="0048443D" w:rsidRDefault="00B73B68" w:rsidP="00B73B68">
            <w:pPr>
              <w:rPr>
                <w:sz w:val="20"/>
                <w:szCs w:val="20"/>
              </w:rPr>
            </w:pPr>
            <w:r w:rsidRPr="0048443D">
              <w:rPr>
                <w:sz w:val="20"/>
                <w:szCs w:val="20"/>
              </w:rPr>
              <w:t>Tasa de litigiosidad</w:t>
            </w:r>
            <w:r>
              <w:rPr>
                <w:sz w:val="20"/>
                <w:szCs w:val="20"/>
              </w:rPr>
              <w:t xml:space="preserve"> </w:t>
            </w:r>
          </w:p>
        </w:tc>
        <w:tc>
          <w:tcPr>
            <w:tcW w:w="1559" w:type="dxa"/>
            <w:vAlign w:val="center"/>
          </w:tcPr>
          <w:p w:rsidR="00B73B68" w:rsidRPr="0048443D" w:rsidRDefault="00B73B68" w:rsidP="00B73B68">
            <w:pPr>
              <w:jc w:val="center"/>
              <w:rPr>
                <w:sz w:val="20"/>
                <w:szCs w:val="20"/>
              </w:rPr>
            </w:pPr>
            <w:r>
              <w:rPr>
                <w:sz w:val="20"/>
                <w:szCs w:val="20"/>
              </w:rPr>
              <w:t>7,94</w:t>
            </w:r>
          </w:p>
        </w:tc>
      </w:tr>
      <w:tr w:rsidR="00B73B68" w:rsidRPr="0048443D" w:rsidTr="00B73B68">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val="restart"/>
            <w:tcBorders>
              <w:left w:val="nil"/>
            </w:tcBorders>
            <w:vAlign w:val="center"/>
          </w:tcPr>
          <w:p w:rsidR="00B73B68" w:rsidRPr="0048443D" w:rsidRDefault="00B73B68" w:rsidP="00B73B68">
            <w:pPr>
              <w:rPr>
                <w:sz w:val="20"/>
                <w:szCs w:val="20"/>
              </w:rPr>
            </w:pPr>
            <w:r w:rsidRPr="0048443D">
              <w:rPr>
                <w:sz w:val="20"/>
                <w:szCs w:val="20"/>
              </w:rPr>
              <w:t>Sentencias firmes favorables al CTBG</w:t>
            </w:r>
          </w:p>
        </w:tc>
        <w:tc>
          <w:tcPr>
            <w:tcW w:w="1843" w:type="dxa"/>
            <w:tcBorders>
              <w:left w:val="nil"/>
            </w:tcBorders>
          </w:tcPr>
          <w:p w:rsidR="00B73B68" w:rsidRPr="0048443D" w:rsidRDefault="00B73B68" w:rsidP="00B73B68">
            <w:pPr>
              <w:rPr>
                <w:sz w:val="20"/>
                <w:szCs w:val="20"/>
              </w:rPr>
            </w:pPr>
            <w:r w:rsidRPr="0048443D">
              <w:rPr>
                <w:sz w:val="20"/>
                <w:szCs w:val="20"/>
              </w:rPr>
              <w:t xml:space="preserve">Nº </w:t>
            </w:r>
          </w:p>
        </w:tc>
        <w:tc>
          <w:tcPr>
            <w:tcW w:w="1559" w:type="dxa"/>
            <w:vAlign w:val="center"/>
          </w:tcPr>
          <w:p w:rsidR="00B73B68" w:rsidRPr="0048443D" w:rsidRDefault="00B73B68" w:rsidP="00B73B68">
            <w:pPr>
              <w:jc w:val="center"/>
              <w:rPr>
                <w:sz w:val="20"/>
                <w:szCs w:val="20"/>
              </w:rPr>
            </w:pPr>
            <w:r>
              <w:rPr>
                <w:sz w:val="20"/>
                <w:szCs w:val="20"/>
              </w:rPr>
              <w:t>23</w:t>
            </w:r>
          </w:p>
        </w:tc>
      </w:tr>
      <w:tr w:rsidR="00B73B68" w:rsidRPr="0048443D" w:rsidTr="00B73B68">
        <w:trPr>
          <w:trHeight w:val="113"/>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tcBorders>
              <w:left w:val="nil"/>
            </w:tcBorders>
            <w:vAlign w:val="center"/>
          </w:tcPr>
          <w:p w:rsidR="00B73B68" w:rsidRPr="0048443D" w:rsidRDefault="00B73B68" w:rsidP="00B73B68">
            <w:pPr>
              <w:rPr>
                <w:sz w:val="20"/>
                <w:szCs w:val="20"/>
              </w:rPr>
            </w:pPr>
          </w:p>
        </w:tc>
        <w:tc>
          <w:tcPr>
            <w:tcW w:w="1843" w:type="dxa"/>
            <w:tcBorders>
              <w:left w:val="nil"/>
            </w:tcBorders>
          </w:tcPr>
          <w:p w:rsidR="00B73B68" w:rsidRPr="0048443D" w:rsidRDefault="00B73B68" w:rsidP="00B73B68">
            <w:pPr>
              <w:rPr>
                <w:sz w:val="20"/>
                <w:szCs w:val="20"/>
              </w:rPr>
            </w:pPr>
            <w:r w:rsidRPr="0048443D">
              <w:rPr>
                <w:sz w:val="20"/>
                <w:szCs w:val="20"/>
              </w:rPr>
              <w:t>Porcentaje</w:t>
            </w:r>
          </w:p>
        </w:tc>
        <w:tc>
          <w:tcPr>
            <w:tcW w:w="1559" w:type="dxa"/>
            <w:vAlign w:val="center"/>
          </w:tcPr>
          <w:p w:rsidR="00B73B68" w:rsidRPr="0048443D" w:rsidRDefault="00B73B68" w:rsidP="00B73B68">
            <w:pPr>
              <w:jc w:val="center"/>
              <w:rPr>
                <w:sz w:val="20"/>
                <w:szCs w:val="20"/>
              </w:rPr>
            </w:pPr>
            <w:r>
              <w:rPr>
                <w:sz w:val="20"/>
                <w:szCs w:val="20"/>
              </w:rPr>
              <w:t>41,82</w:t>
            </w:r>
          </w:p>
        </w:tc>
      </w:tr>
      <w:tr w:rsidR="00B73B68" w:rsidRPr="0048443D" w:rsidTr="00B73B68">
        <w:trPr>
          <w:trHeight w:val="248"/>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val="restart"/>
            <w:tcBorders>
              <w:left w:val="nil"/>
            </w:tcBorders>
            <w:vAlign w:val="center"/>
          </w:tcPr>
          <w:p w:rsidR="00B73B68" w:rsidRPr="0048443D" w:rsidRDefault="00B73B68" w:rsidP="00B73B68">
            <w:pPr>
              <w:rPr>
                <w:sz w:val="20"/>
                <w:szCs w:val="20"/>
              </w:rPr>
            </w:pPr>
            <w:r w:rsidRPr="0048443D">
              <w:rPr>
                <w:sz w:val="20"/>
                <w:szCs w:val="20"/>
              </w:rPr>
              <w:t>Sentencias firmes favorables a la entidad</w:t>
            </w:r>
          </w:p>
        </w:tc>
        <w:tc>
          <w:tcPr>
            <w:tcW w:w="1843" w:type="dxa"/>
            <w:tcBorders>
              <w:left w:val="nil"/>
            </w:tcBorders>
          </w:tcPr>
          <w:p w:rsidR="00B73B68" w:rsidRPr="0048443D" w:rsidRDefault="00B73B68" w:rsidP="00B73B68">
            <w:pPr>
              <w:rPr>
                <w:sz w:val="20"/>
                <w:szCs w:val="20"/>
              </w:rPr>
            </w:pPr>
            <w:r w:rsidRPr="0048443D">
              <w:rPr>
                <w:sz w:val="20"/>
                <w:szCs w:val="20"/>
              </w:rPr>
              <w:t xml:space="preserve">Nº </w:t>
            </w:r>
          </w:p>
        </w:tc>
        <w:tc>
          <w:tcPr>
            <w:tcW w:w="1559" w:type="dxa"/>
            <w:vAlign w:val="center"/>
          </w:tcPr>
          <w:p w:rsidR="00B73B68" w:rsidRPr="0048443D" w:rsidRDefault="00B73B68" w:rsidP="00B73B68">
            <w:pPr>
              <w:jc w:val="center"/>
              <w:rPr>
                <w:sz w:val="20"/>
                <w:szCs w:val="20"/>
              </w:rPr>
            </w:pPr>
            <w:r>
              <w:rPr>
                <w:sz w:val="20"/>
                <w:szCs w:val="20"/>
              </w:rPr>
              <w:t>32</w:t>
            </w:r>
          </w:p>
        </w:tc>
      </w:tr>
      <w:tr w:rsidR="00B73B68" w:rsidRPr="0048443D" w:rsidTr="00B73B68">
        <w:trPr>
          <w:trHeight w:val="247"/>
        </w:trPr>
        <w:tc>
          <w:tcPr>
            <w:tcW w:w="1299" w:type="dxa"/>
            <w:vMerge/>
            <w:tcBorders>
              <w:right w:val="nil"/>
            </w:tcBorders>
            <w:shd w:val="clear" w:color="auto" w:fill="4D7F52"/>
          </w:tcPr>
          <w:p w:rsidR="00B73B68" w:rsidRPr="0048443D" w:rsidRDefault="00B73B68" w:rsidP="00B73B68">
            <w:pPr>
              <w:ind w:left="113" w:right="113"/>
              <w:jc w:val="center"/>
            </w:pPr>
          </w:p>
        </w:tc>
        <w:tc>
          <w:tcPr>
            <w:tcW w:w="4479" w:type="dxa"/>
            <w:vMerge/>
            <w:tcBorders>
              <w:left w:val="nil"/>
            </w:tcBorders>
          </w:tcPr>
          <w:p w:rsidR="00B73B68" w:rsidRPr="0048443D" w:rsidRDefault="00B73B68" w:rsidP="00B73B68">
            <w:pPr>
              <w:rPr>
                <w:sz w:val="20"/>
                <w:szCs w:val="20"/>
              </w:rPr>
            </w:pPr>
          </w:p>
        </w:tc>
        <w:tc>
          <w:tcPr>
            <w:tcW w:w="1843" w:type="dxa"/>
            <w:tcBorders>
              <w:left w:val="nil"/>
            </w:tcBorders>
          </w:tcPr>
          <w:p w:rsidR="00B73B68" w:rsidRPr="0048443D" w:rsidRDefault="00B73B68" w:rsidP="00B73B68">
            <w:pPr>
              <w:rPr>
                <w:sz w:val="20"/>
                <w:szCs w:val="20"/>
              </w:rPr>
            </w:pPr>
            <w:r w:rsidRPr="0048443D">
              <w:rPr>
                <w:sz w:val="20"/>
                <w:szCs w:val="20"/>
              </w:rPr>
              <w:t>Porcentaje</w:t>
            </w:r>
          </w:p>
        </w:tc>
        <w:tc>
          <w:tcPr>
            <w:tcW w:w="1559" w:type="dxa"/>
            <w:vAlign w:val="center"/>
          </w:tcPr>
          <w:p w:rsidR="00B73B68" w:rsidRPr="0048443D" w:rsidRDefault="00B73B68" w:rsidP="00B73B68">
            <w:pPr>
              <w:jc w:val="center"/>
              <w:rPr>
                <w:sz w:val="20"/>
                <w:szCs w:val="20"/>
              </w:rPr>
            </w:pPr>
            <w:r>
              <w:rPr>
                <w:sz w:val="20"/>
                <w:szCs w:val="20"/>
              </w:rPr>
              <w:t>58,18</w:t>
            </w:r>
          </w:p>
        </w:tc>
      </w:tr>
    </w:tbl>
    <w:p w:rsidR="00B73B68" w:rsidRDefault="00B73B68" w:rsidP="00256215">
      <w:pPr>
        <w:pStyle w:val="Cuerpodelboletn"/>
      </w:pPr>
    </w:p>
    <w:p w:rsidR="00841C53" w:rsidRDefault="00841C53" w:rsidP="00256215">
      <w:pPr>
        <w:pStyle w:val="Cuerpodelboletn"/>
      </w:pPr>
    </w:p>
    <w:p w:rsidR="001F251B" w:rsidRPr="00256215" w:rsidRDefault="004F4B96"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9F2810">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9F2810" w:rsidRDefault="009F2810" w:rsidP="00256215"/>
    <w:p w:rsidR="00256215" w:rsidRDefault="002F77CB" w:rsidP="00256215">
      <w:r>
        <w:t>El Portal de Transparencia de la AGE presenta un conjunto de buenas prácticas que podrían ser adoptadas por otras organizaciones públicas para facilitar el ejercicio del derecho de acceso a la información pública.</w:t>
      </w:r>
    </w:p>
    <w:p w:rsidR="002F77CB" w:rsidRDefault="002F77CB" w:rsidP="002F77CB">
      <w:pPr>
        <w:pStyle w:val="Prrafodelista"/>
        <w:numPr>
          <w:ilvl w:val="0"/>
          <w:numId w:val="5"/>
        </w:numPr>
      </w:pPr>
      <w:r>
        <w:t>La incorporación del banner de acceso en una parte muy visible del Portal y de fácil localización para quienes deseen ejercitar el derecho de acceso a la información pública.</w:t>
      </w:r>
    </w:p>
    <w:p w:rsidR="002F77CB" w:rsidRDefault="002F77CB" w:rsidP="002F77CB">
      <w:pPr>
        <w:pStyle w:val="Prrafodelista"/>
        <w:numPr>
          <w:ilvl w:val="0"/>
          <w:numId w:val="5"/>
        </w:numPr>
      </w:pPr>
      <w:r>
        <w:t>La incorporación de explicaciones de los contenidos de las páginas que abren los enlaces dependientes del acceso principal.</w:t>
      </w:r>
    </w:p>
    <w:p w:rsidR="002F77CB" w:rsidRDefault="002F77CB" w:rsidP="002F77CB">
      <w:pPr>
        <w:pStyle w:val="Prrafodelista"/>
        <w:numPr>
          <w:ilvl w:val="0"/>
          <w:numId w:val="5"/>
        </w:numPr>
      </w:pPr>
      <w:r>
        <w:t>La publicación de una guía y de recomendaciones para facilitar el ejercicio del derecho</w:t>
      </w:r>
    </w:p>
    <w:p w:rsidR="002F77CB" w:rsidRDefault="002F77CB" w:rsidP="002F77CB">
      <w:pPr>
        <w:pStyle w:val="Prrafodelista"/>
        <w:numPr>
          <w:ilvl w:val="0"/>
          <w:numId w:val="5"/>
        </w:numPr>
      </w:pPr>
      <w:r>
        <w:t>La posibilidad de consultar el estado de tramitación de la solicitud.</w:t>
      </w:r>
    </w:p>
    <w:p w:rsidR="002F77CB" w:rsidRDefault="002F77CB" w:rsidP="002F77CB">
      <w:pPr>
        <w:pStyle w:val="Prrafodelista"/>
        <w:numPr>
          <w:ilvl w:val="0"/>
          <w:numId w:val="5"/>
        </w:numPr>
      </w:pPr>
      <w:r>
        <w:t xml:space="preserve">La publicación de las resoluciones denegatorias en aplicación de los límites establecidos en el artículo 14 de la LTAIBG, posibilitando la descarga del conjunto de </w:t>
      </w:r>
      <w:r w:rsidR="007B497A">
        <w:t>resoluciones</w:t>
      </w:r>
      <w:r>
        <w:t xml:space="preserve"> denegatorias </w:t>
      </w:r>
      <w:r w:rsidR="007B497A">
        <w:t>o efectuar una selección por año.</w:t>
      </w:r>
    </w:p>
    <w:p w:rsidR="002F77CB" w:rsidRDefault="007B497A" w:rsidP="002F77CB">
      <w:pPr>
        <w:pStyle w:val="Prrafodelista"/>
        <w:numPr>
          <w:ilvl w:val="0"/>
          <w:numId w:val="5"/>
        </w:numPr>
      </w:pPr>
      <w:r>
        <w:t>El enlace a las Resoluciones del CTBG referidas a solicitudes de la AGE.</w:t>
      </w:r>
    </w:p>
    <w:p w:rsidR="007B497A" w:rsidRDefault="007B497A" w:rsidP="007B497A">
      <w:pPr>
        <w:pStyle w:val="Prrafodelista"/>
      </w:pPr>
    </w:p>
    <w:p w:rsidR="00256215" w:rsidRDefault="004F4B96"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9F2810">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9F2810" w:rsidRPr="00B70DBD" w:rsidRDefault="009F2810" w:rsidP="009F2810">
      <w:pPr>
        <w:pStyle w:val="Prrafodelista"/>
        <w:numPr>
          <w:ilvl w:val="0"/>
          <w:numId w:val="6"/>
        </w:numPr>
        <w:ind w:left="426"/>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9F2810" w:rsidRDefault="009F2810" w:rsidP="009F2810">
      <w:pPr>
        <w:pStyle w:val="Prrafodelista"/>
        <w:tabs>
          <w:tab w:val="left" w:pos="1515"/>
        </w:tabs>
        <w:ind w:left="426"/>
        <w:rPr>
          <w:rStyle w:val="Ttulo2Car"/>
          <w:color w:val="00642D"/>
          <w:sz w:val="22"/>
          <w:szCs w:val="22"/>
          <w:lang w:bidi="es-ES"/>
        </w:rPr>
      </w:pPr>
      <w:r>
        <w:rPr>
          <w:rStyle w:val="Ttulo2Car"/>
          <w:color w:val="00642D"/>
          <w:sz w:val="22"/>
          <w:szCs w:val="22"/>
          <w:lang w:bidi="es-ES"/>
        </w:rPr>
        <w:tab/>
      </w:r>
    </w:p>
    <w:p w:rsidR="009F2810" w:rsidRDefault="009F2810" w:rsidP="009F2810">
      <w:pPr>
        <w:pStyle w:val="Prrafodelista"/>
        <w:ind w:left="426"/>
        <w:jc w:val="both"/>
        <w:rPr>
          <w:bCs/>
        </w:rPr>
      </w:pPr>
      <w:r w:rsidRPr="008648E8">
        <w:rPr>
          <w:bCs/>
        </w:rPr>
        <w:t xml:space="preserve">La </w:t>
      </w:r>
      <w:r>
        <w:rPr>
          <w:bCs/>
        </w:rPr>
        <w:t xml:space="preserve">AGE tramita el 89% de las solicitudes que recibe y admite prácticamente el 80% de ellas aunque esta proporción se explica en parte por el volumen de solicitudes dirigidas a la Agencia solicitando información que o bien está sujeta a un régimen especial de acceso o bien los solicitantes tienen la consideración de interesados en un procedimiento administrativo en curso. A pesar de que la tasa de tramitación es elevada, el número de solicitudes que quedan pendientes de tramitación a final de año se ha duplicado en 2020 respecto de 2019.  </w:t>
      </w:r>
    </w:p>
    <w:p w:rsidR="009F2810" w:rsidRDefault="009F2810" w:rsidP="009F2810">
      <w:pPr>
        <w:pStyle w:val="Prrafodelista"/>
        <w:ind w:left="426"/>
        <w:jc w:val="both"/>
        <w:rPr>
          <w:bCs/>
        </w:rPr>
      </w:pPr>
    </w:p>
    <w:p w:rsidR="009F2810" w:rsidRPr="008648E8" w:rsidRDefault="009F2810" w:rsidP="00867CE6">
      <w:pPr>
        <w:pStyle w:val="Prrafodelista"/>
        <w:ind w:left="709"/>
        <w:jc w:val="both"/>
        <w:rPr>
          <w:bCs/>
        </w:rPr>
      </w:pPr>
      <w:r>
        <w:rPr>
          <w:bCs/>
        </w:rPr>
        <w:t xml:space="preserve">Por lo que respecta a las resoluciones, emite resolución expresa para más del 79% de las solicitudes admitidas, concediendo el acceso total a la información solicitada en el 87,7% de los casos. Un 2,19% de las resoluciones deniega la información aplicando los límites del artículo 14.1 de la LTAIBG. </w:t>
      </w:r>
    </w:p>
    <w:p w:rsidR="009F2810" w:rsidRDefault="009F2810" w:rsidP="009F2810">
      <w:pPr>
        <w:pStyle w:val="Prrafodelista"/>
        <w:ind w:left="426"/>
      </w:pPr>
    </w:p>
    <w:p w:rsidR="009F2810" w:rsidRPr="001018C9" w:rsidRDefault="009F2810" w:rsidP="009F2810">
      <w:pPr>
        <w:pStyle w:val="Prrafodelista"/>
        <w:numPr>
          <w:ilvl w:val="0"/>
          <w:numId w:val="6"/>
        </w:numPr>
        <w:ind w:left="426"/>
      </w:pPr>
      <w:r w:rsidRPr="00B70DBD">
        <w:rPr>
          <w:rStyle w:val="Ttulo2Car"/>
          <w:color w:val="00642D"/>
          <w:sz w:val="22"/>
          <w:szCs w:val="22"/>
          <w:lang w:bidi="es-ES"/>
        </w:rPr>
        <w:t>Respecto de la localización de la información y facilidad de acceso al ejercicio del derecho.</w:t>
      </w:r>
    </w:p>
    <w:p w:rsidR="009F2810" w:rsidRDefault="009F2810" w:rsidP="009F2810">
      <w:pPr>
        <w:pStyle w:val="Prrafodelista"/>
        <w:ind w:left="426"/>
      </w:pPr>
    </w:p>
    <w:p w:rsidR="00867CE6" w:rsidRDefault="00867CE6" w:rsidP="00867CE6">
      <w:pPr>
        <w:pStyle w:val="Prrafodelista"/>
        <w:ind w:left="644"/>
        <w:jc w:val="both"/>
      </w:pPr>
      <w:r>
        <w:t xml:space="preserve">Como se ha indicado, la </w:t>
      </w:r>
      <w:r>
        <w:t>AGE</w:t>
      </w:r>
      <w:r>
        <w:t xml:space="preserve"> dispone de un espacio en su Portal de Transparencia que ofrece información sobre la posibilidad de que los ciudadanos efectúen solicitudes de acceso a información pública dirigidas a la entidad. También proporciona un formulario web y ha habilitado diversos canales para la presentación de las solicitudes. </w:t>
      </w:r>
      <w:r>
        <w:t xml:space="preserve">Existe la posibilidad de solicitar información sobre el estado de tramitación de la solicitud. </w:t>
      </w:r>
    </w:p>
    <w:p w:rsidR="00867CE6" w:rsidRDefault="00867CE6" w:rsidP="00867CE6">
      <w:pPr>
        <w:pStyle w:val="Prrafodelista"/>
        <w:ind w:left="644"/>
        <w:jc w:val="both"/>
      </w:pPr>
    </w:p>
    <w:p w:rsidR="00867CE6" w:rsidRDefault="00867CE6" w:rsidP="00867CE6">
      <w:pPr>
        <w:pStyle w:val="Prrafodelista"/>
        <w:ind w:left="644"/>
        <w:jc w:val="both"/>
      </w:pPr>
      <w:r>
        <w:t xml:space="preserve">La presentación telemática de las solicitudes implica contar con </w:t>
      </w:r>
      <w:r>
        <w:t>certificado digital</w:t>
      </w:r>
      <w:r>
        <w:t xml:space="preserve"> o código de acceso</w:t>
      </w:r>
      <w:r>
        <w:t xml:space="preserve">. </w:t>
      </w:r>
      <w:r>
        <w:t>En los restantes canales de presentación de solicitudes se exige la acreditación de la identidad. Por otra parte se proporciona información adicion</w:t>
      </w:r>
      <w:bookmarkStart w:id="0" w:name="_GoBack"/>
      <w:bookmarkEnd w:id="0"/>
      <w:r>
        <w:t xml:space="preserve">al sobre el procedimiento así como guías y otro tipo de ayudas lo que facilita el ejercicio del derecho a los ciudadanos. </w:t>
      </w:r>
    </w:p>
    <w:p w:rsidR="00867CE6" w:rsidRDefault="00867CE6" w:rsidP="00867CE6">
      <w:pPr>
        <w:pStyle w:val="Prrafodelista"/>
        <w:ind w:left="644"/>
        <w:jc w:val="both"/>
      </w:pPr>
    </w:p>
    <w:p w:rsidR="00B40246" w:rsidRDefault="00B40246"/>
    <w:p w:rsidR="00B40246" w:rsidRDefault="00B40246"/>
    <w:sectPr w:rsidR="00B40246" w:rsidSect="00DF63E7">
      <w:headerReference w:type="default"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10" w:rsidRDefault="009F2810" w:rsidP="00932008">
      <w:pPr>
        <w:spacing w:after="0" w:line="240" w:lineRule="auto"/>
      </w:pPr>
      <w:r>
        <w:separator/>
      </w:r>
    </w:p>
  </w:endnote>
  <w:endnote w:type="continuationSeparator" w:id="0">
    <w:p w:rsidR="009F2810" w:rsidRDefault="009F281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10" w:rsidRDefault="009F2810" w:rsidP="00932008">
      <w:pPr>
        <w:spacing w:after="0" w:line="240" w:lineRule="auto"/>
      </w:pPr>
      <w:r>
        <w:separator/>
      </w:r>
    </w:p>
  </w:footnote>
  <w:footnote w:type="continuationSeparator" w:id="0">
    <w:p w:rsidR="009F2810" w:rsidRDefault="009F2810" w:rsidP="00932008">
      <w:pPr>
        <w:spacing w:after="0" w:line="240" w:lineRule="auto"/>
      </w:pPr>
      <w:r>
        <w:continuationSeparator/>
      </w:r>
    </w:p>
  </w:footnote>
  <w:footnote w:id="1">
    <w:p w:rsidR="009F2810" w:rsidRDefault="009F2810" w:rsidP="000235F8">
      <w:pPr>
        <w:pStyle w:val="Textonotapie"/>
      </w:pPr>
      <w:r>
        <w:rPr>
          <w:rStyle w:val="Refdenotaalpie"/>
        </w:rPr>
        <w:footnoteRef/>
      </w:r>
      <w:r>
        <w:t xml:space="preserve"> Incluye las concesiones que aparecen en el Boletín Estadístico en la categoría “Otros”</w:t>
      </w:r>
    </w:p>
    <w:p w:rsidR="009F2810" w:rsidRDefault="009F2810">
      <w:pPr>
        <w:pStyle w:val="Textonotapie"/>
      </w:pPr>
    </w:p>
  </w:footnote>
  <w:footnote w:id="2">
    <w:p w:rsidR="009F2810" w:rsidRDefault="009F2810" w:rsidP="00B73B68">
      <w:pPr>
        <w:pStyle w:val="Textonotapie"/>
      </w:pPr>
      <w:r>
        <w:rPr>
          <w:rStyle w:val="Refdenotaalpie"/>
        </w:rPr>
        <w:footnoteRef/>
      </w:r>
      <w:r>
        <w:t xml:space="preserve"> No se incluyen reclamaciones contra resoluciones de organismos dependientes o vinculados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10" w:rsidRDefault="009F28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1CE0956"/>
    <w:multiLevelType w:val="hybridMultilevel"/>
    <w:tmpl w:val="2012D4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CC708F"/>
    <w:multiLevelType w:val="hybridMultilevel"/>
    <w:tmpl w:val="018EFDD2"/>
    <w:lvl w:ilvl="0" w:tplc="117C1058">
      <w:start w:val="1"/>
      <w:numFmt w:val="decimal"/>
      <w:lvlText w:val="%1."/>
      <w:lvlJc w:val="left"/>
      <w:pPr>
        <w:ind w:left="1210" w:hanging="360"/>
      </w:pPr>
      <w:rPr>
        <w:rFonts w:hint="default"/>
        <w:b/>
        <w:color w:val="008000"/>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4BE"/>
    <w:rsid w:val="000235F8"/>
    <w:rsid w:val="000262A3"/>
    <w:rsid w:val="00055B15"/>
    <w:rsid w:val="00072760"/>
    <w:rsid w:val="000965B3"/>
    <w:rsid w:val="000C6CFF"/>
    <w:rsid w:val="000E26E4"/>
    <w:rsid w:val="00102733"/>
    <w:rsid w:val="0012783F"/>
    <w:rsid w:val="001561A4"/>
    <w:rsid w:val="00176A94"/>
    <w:rsid w:val="00194000"/>
    <w:rsid w:val="001F251B"/>
    <w:rsid w:val="001F52BB"/>
    <w:rsid w:val="00211694"/>
    <w:rsid w:val="00256215"/>
    <w:rsid w:val="002A154B"/>
    <w:rsid w:val="002E748A"/>
    <w:rsid w:val="002F41E5"/>
    <w:rsid w:val="002F77CB"/>
    <w:rsid w:val="003123E1"/>
    <w:rsid w:val="00334115"/>
    <w:rsid w:val="003F271E"/>
    <w:rsid w:val="003F572A"/>
    <w:rsid w:val="0048443D"/>
    <w:rsid w:val="004A123A"/>
    <w:rsid w:val="004D6E73"/>
    <w:rsid w:val="004F2655"/>
    <w:rsid w:val="004F4B96"/>
    <w:rsid w:val="00515527"/>
    <w:rsid w:val="0052391C"/>
    <w:rsid w:val="00536D95"/>
    <w:rsid w:val="005446A8"/>
    <w:rsid w:val="00561402"/>
    <w:rsid w:val="0057532F"/>
    <w:rsid w:val="0058500C"/>
    <w:rsid w:val="00595AAF"/>
    <w:rsid w:val="005A0AF5"/>
    <w:rsid w:val="005B3C15"/>
    <w:rsid w:val="0065692B"/>
    <w:rsid w:val="006A2766"/>
    <w:rsid w:val="00705415"/>
    <w:rsid w:val="00706E04"/>
    <w:rsid w:val="00710031"/>
    <w:rsid w:val="00711598"/>
    <w:rsid w:val="00743756"/>
    <w:rsid w:val="007453CB"/>
    <w:rsid w:val="007B0F99"/>
    <w:rsid w:val="007B497A"/>
    <w:rsid w:val="00815659"/>
    <w:rsid w:val="00817D5D"/>
    <w:rsid w:val="008207D9"/>
    <w:rsid w:val="00841C53"/>
    <w:rsid w:val="00844FA9"/>
    <w:rsid w:val="00857CFB"/>
    <w:rsid w:val="00867CE6"/>
    <w:rsid w:val="008C1788"/>
    <w:rsid w:val="008C1E1E"/>
    <w:rsid w:val="00923092"/>
    <w:rsid w:val="00932008"/>
    <w:rsid w:val="009609E9"/>
    <w:rsid w:val="00983919"/>
    <w:rsid w:val="009B797E"/>
    <w:rsid w:val="009C725C"/>
    <w:rsid w:val="009F2810"/>
    <w:rsid w:val="00A020A1"/>
    <w:rsid w:val="00A077E1"/>
    <w:rsid w:val="00A41AAB"/>
    <w:rsid w:val="00A41DD5"/>
    <w:rsid w:val="00AB132E"/>
    <w:rsid w:val="00B40246"/>
    <w:rsid w:val="00B5583D"/>
    <w:rsid w:val="00B73B68"/>
    <w:rsid w:val="00B812AB"/>
    <w:rsid w:val="00B841AE"/>
    <w:rsid w:val="00BA78C6"/>
    <w:rsid w:val="00BB6799"/>
    <w:rsid w:val="00BD4582"/>
    <w:rsid w:val="00BE6A46"/>
    <w:rsid w:val="00C33A23"/>
    <w:rsid w:val="00C4479B"/>
    <w:rsid w:val="00C5744D"/>
    <w:rsid w:val="00C6758C"/>
    <w:rsid w:val="00CA6B2A"/>
    <w:rsid w:val="00CB5511"/>
    <w:rsid w:val="00CC2049"/>
    <w:rsid w:val="00CC587B"/>
    <w:rsid w:val="00D96F84"/>
    <w:rsid w:val="00DB23FA"/>
    <w:rsid w:val="00DD3E02"/>
    <w:rsid w:val="00DE4AA9"/>
    <w:rsid w:val="00DF63E7"/>
    <w:rsid w:val="00E02639"/>
    <w:rsid w:val="00E20B37"/>
    <w:rsid w:val="00E3088D"/>
    <w:rsid w:val="00E34195"/>
    <w:rsid w:val="00E34A80"/>
    <w:rsid w:val="00E47613"/>
    <w:rsid w:val="00EB1C95"/>
    <w:rsid w:val="00EC6596"/>
    <w:rsid w:val="00EE5BDF"/>
    <w:rsid w:val="00F14DA4"/>
    <w:rsid w:val="00F23273"/>
    <w:rsid w:val="00F47C3B"/>
    <w:rsid w:val="00F71D7D"/>
    <w:rsid w:val="00FD783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9C72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725C"/>
    <w:rPr>
      <w:rFonts w:ascii="Century Gothic" w:hAnsi="Century Gothic"/>
      <w:sz w:val="20"/>
      <w:szCs w:val="20"/>
    </w:rPr>
  </w:style>
  <w:style w:type="character" w:styleId="Refdenotaalpie">
    <w:name w:val="footnote reference"/>
    <w:basedOn w:val="Fuentedeprrafopredeter"/>
    <w:uiPriority w:val="99"/>
    <w:semiHidden/>
    <w:unhideWhenUsed/>
    <w:rsid w:val="009C725C"/>
    <w:rPr>
      <w:vertAlign w:val="superscript"/>
    </w:rPr>
  </w:style>
  <w:style w:type="paragraph" w:styleId="Epgrafe">
    <w:name w:val="caption"/>
    <w:basedOn w:val="Normal"/>
    <w:next w:val="Normal"/>
    <w:uiPriority w:val="35"/>
    <w:semiHidden/>
    <w:unhideWhenUsed/>
    <w:qFormat/>
    <w:rsid w:val="00536D95"/>
    <w:pPr>
      <w:spacing w:line="240" w:lineRule="auto"/>
    </w:pPr>
    <w:rPr>
      <w:b/>
      <w:bCs/>
      <w:color w:val="4F81BD" w:themeColor="accent1"/>
      <w:sz w:val="18"/>
      <w:szCs w:val="18"/>
    </w:rPr>
  </w:style>
  <w:style w:type="character" w:styleId="Hipervnculo">
    <w:name w:val="Hyperlink"/>
    <w:basedOn w:val="Fuentedeprrafopredeter"/>
    <w:uiPriority w:val="99"/>
    <w:unhideWhenUsed/>
    <w:rsid w:val="00841C53"/>
    <w:rPr>
      <w:color w:val="0000FF" w:themeColor="hyperlink"/>
      <w:u w:val="single"/>
    </w:rPr>
  </w:style>
  <w:style w:type="character" w:styleId="Hipervnculovisitado">
    <w:name w:val="FollowedHyperlink"/>
    <w:basedOn w:val="Fuentedeprrafopredeter"/>
    <w:uiPriority w:val="99"/>
    <w:semiHidden/>
    <w:unhideWhenUsed/>
    <w:rsid w:val="00841C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9C72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725C"/>
    <w:rPr>
      <w:rFonts w:ascii="Century Gothic" w:hAnsi="Century Gothic"/>
      <w:sz w:val="20"/>
      <w:szCs w:val="20"/>
    </w:rPr>
  </w:style>
  <w:style w:type="character" w:styleId="Refdenotaalpie">
    <w:name w:val="footnote reference"/>
    <w:basedOn w:val="Fuentedeprrafopredeter"/>
    <w:uiPriority w:val="99"/>
    <w:semiHidden/>
    <w:unhideWhenUsed/>
    <w:rsid w:val="009C725C"/>
    <w:rPr>
      <w:vertAlign w:val="superscript"/>
    </w:rPr>
  </w:style>
  <w:style w:type="paragraph" w:styleId="Epgrafe">
    <w:name w:val="caption"/>
    <w:basedOn w:val="Normal"/>
    <w:next w:val="Normal"/>
    <w:uiPriority w:val="35"/>
    <w:semiHidden/>
    <w:unhideWhenUsed/>
    <w:qFormat/>
    <w:rsid w:val="00536D95"/>
    <w:pPr>
      <w:spacing w:line="240" w:lineRule="auto"/>
    </w:pPr>
    <w:rPr>
      <w:b/>
      <w:bCs/>
      <w:color w:val="4F81BD" w:themeColor="accent1"/>
      <w:sz w:val="18"/>
      <w:szCs w:val="18"/>
    </w:rPr>
  </w:style>
  <w:style w:type="character" w:styleId="Hipervnculo">
    <w:name w:val="Hyperlink"/>
    <w:basedOn w:val="Fuentedeprrafopredeter"/>
    <w:uiPriority w:val="99"/>
    <w:unhideWhenUsed/>
    <w:rsid w:val="00841C53"/>
    <w:rPr>
      <w:color w:val="0000FF" w:themeColor="hyperlink"/>
      <w:u w:val="single"/>
    </w:rPr>
  </w:style>
  <w:style w:type="character" w:styleId="Hipervnculovisitado">
    <w:name w:val="FollowedHyperlink"/>
    <w:basedOn w:val="Fuentedeprrafopredeter"/>
    <w:uiPriority w:val="99"/>
    <w:semiHidden/>
    <w:unhideWhenUsed/>
    <w:rsid w:val="00841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sejodetransparencia.es/ct_Home/Actividad/memorias_planes/memoria2019.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SIC.ES\sscc\550Grupos\ctbg-sgtbg\14%20MEMORIA\MEMORIA%202021\02%20AGE_PORTAL%20TRANSPARENCIA\Tablas%20cumplimiento%20AG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spPr>
            <a:solidFill>
              <a:srgbClr val="55AB6C"/>
            </a:solidFill>
          </c:spPr>
          <c:invertIfNegative val="0"/>
          <c:dLbls>
            <c:showLegendKey val="0"/>
            <c:showVal val="1"/>
            <c:showCatName val="0"/>
            <c:showSerName val="0"/>
            <c:showPercent val="0"/>
            <c:showBubbleSize val="0"/>
            <c:showLeaderLines val="0"/>
          </c:dLbls>
          <c:cat>
            <c:strRef>
              <c:f>DAI!$E$3:$L$3</c:f>
              <c:strCache>
                <c:ptCount val="8"/>
                <c:pt idx="0">
                  <c:v>Información en curso de elaboración o de publicación general</c:v>
                </c:pt>
                <c:pt idx="1">
                  <c:v> Información auxiliar o de apoyo</c:v>
                </c:pt>
                <c:pt idx="2">
                  <c:v>Acción previa de reelaboración</c:v>
                </c:pt>
                <c:pt idx="3">
                  <c:v>Órgano no competente y desconocimiento del competente</c:v>
                </c:pt>
                <c:pt idx="4">
                  <c:v>Solicitud repetitiva o abusiva</c:v>
                </c:pt>
                <c:pt idx="5">
                  <c:v>Interesados en un procedimiento administrativo en curso </c:v>
                </c:pt>
                <c:pt idx="6">
                  <c:v>Régimen específico de acceso a la información.</c:v>
                </c:pt>
                <c:pt idx="7">
                  <c:v>Otras causas.</c:v>
                </c:pt>
              </c:strCache>
            </c:strRef>
          </c:cat>
          <c:val>
            <c:numRef>
              <c:f>DAI!$E$5:$L$5</c:f>
              <c:numCache>
                <c:formatCode>0.0%</c:formatCode>
                <c:ptCount val="8"/>
                <c:pt idx="0">
                  <c:v>6.109785202863962E-2</c:v>
                </c:pt>
                <c:pt idx="1">
                  <c:v>1.7661097852028639E-2</c:v>
                </c:pt>
                <c:pt idx="2">
                  <c:v>7.2553699284009551E-2</c:v>
                </c:pt>
                <c:pt idx="3">
                  <c:v>0.17279236276849641</c:v>
                </c:pt>
                <c:pt idx="4">
                  <c:v>0.18854415274463007</c:v>
                </c:pt>
                <c:pt idx="5">
                  <c:v>0.27159904534606205</c:v>
                </c:pt>
                <c:pt idx="6">
                  <c:v>0.20572792362768497</c:v>
                </c:pt>
                <c:pt idx="7">
                  <c:v>1.0023866348448688E-2</c:v>
                </c:pt>
              </c:numCache>
            </c:numRef>
          </c:val>
        </c:ser>
        <c:dLbls>
          <c:showLegendKey val="0"/>
          <c:showVal val="0"/>
          <c:showCatName val="0"/>
          <c:showSerName val="0"/>
          <c:showPercent val="0"/>
          <c:showBubbleSize val="0"/>
        </c:dLbls>
        <c:gapWidth val="150"/>
        <c:axId val="140752000"/>
        <c:axId val="140753536"/>
      </c:barChart>
      <c:catAx>
        <c:axId val="140752000"/>
        <c:scaling>
          <c:orientation val="minMax"/>
        </c:scaling>
        <c:delete val="0"/>
        <c:axPos val="l"/>
        <c:majorTickMark val="out"/>
        <c:minorTickMark val="none"/>
        <c:tickLblPos val="nextTo"/>
        <c:crossAx val="140753536"/>
        <c:crosses val="autoZero"/>
        <c:auto val="1"/>
        <c:lblAlgn val="ctr"/>
        <c:lblOffset val="100"/>
        <c:noMultiLvlLbl val="0"/>
      </c:catAx>
      <c:valAx>
        <c:axId val="140753536"/>
        <c:scaling>
          <c:orientation val="minMax"/>
          <c:max val="1"/>
        </c:scaling>
        <c:delete val="0"/>
        <c:axPos val="b"/>
        <c:numFmt formatCode="0.0%" sourceLinked="1"/>
        <c:majorTickMark val="out"/>
        <c:minorTickMark val="none"/>
        <c:tickLblPos val="nextTo"/>
        <c:crossAx val="140752000"/>
        <c:crosses val="autoZero"/>
        <c:crossBetween val="between"/>
        <c:majorUnit val="0.2"/>
      </c:valAx>
    </c:plotArea>
    <c:plotVisOnly val="1"/>
    <c:dispBlanksAs val="gap"/>
    <c:showDLblsOverMax val="0"/>
  </c:chart>
  <c:txPr>
    <a:bodyPr/>
    <a:lstStyle/>
    <a:p>
      <a:pPr>
        <a:defRPr>
          <a:latin typeface="Century Gothic" pitchFamily="34" charset="0"/>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55AB6C"/>
            </a:solidFill>
          </c:spPr>
          <c:invertIfNegative val="0"/>
          <c:dLbls>
            <c:showLegendKey val="0"/>
            <c:showVal val="1"/>
            <c:showCatName val="0"/>
            <c:showSerName val="0"/>
            <c:showPercent val="0"/>
            <c:showBubbleSize val="0"/>
            <c:showLeaderLines val="0"/>
          </c:dLbls>
          <c:cat>
            <c:strRef>
              <c:f>DAI!$E$34:$Q$34</c:f>
              <c:strCache>
                <c:ptCount val="13"/>
                <c:pt idx="0">
                  <c:v>Seguridad nacional</c:v>
                </c:pt>
                <c:pt idx="1">
                  <c:v>Defensa.</c:v>
                </c:pt>
                <c:pt idx="2">
                  <c:v>Relaciones exteriores.</c:v>
                </c:pt>
                <c:pt idx="3">
                  <c:v>Seguridad pública.</c:v>
                </c:pt>
                <c:pt idx="4">
                  <c:v>Prevención, investigación y sanción de los ilícitos penales, administrativos o disciplinarios</c:v>
                </c:pt>
                <c:pt idx="5">
                  <c:v>Igualdad de las partes en los procesos judiciales y la tutela judicial efectiva</c:v>
                </c:pt>
                <c:pt idx="6">
                  <c:v>Funciones administrativas de vigilancia, inspección y control.</c:v>
                </c:pt>
                <c:pt idx="7">
                  <c:v>Intereses económicos y comerciales.</c:v>
                </c:pt>
                <c:pt idx="8">
                  <c:v>Política económica y monetaria</c:v>
                </c:pt>
                <c:pt idx="9">
                  <c:v>Secreto profesional y la propiedad intelectual e industrial.</c:v>
                </c:pt>
                <c:pt idx="10">
                  <c:v>Garantía de la confidencialidad o el secreto requerido en procesos de toma de decisión</c:v>
                </c:pt>
                <c:pt idx="11">
                  <c:v>Protección del medio ambiente.</c:v>
                </c:pt>
                <c:pt idx="12">
                  <c:v>Protección de datos de carácter personal.</c:v>
                </c:pt>
              </c:strCache>
            </c:strRef>
          </c:cat>
          <c:val>
            <c:numRef>
              <c:f>DAI!$E$36:$Q$36</c:f>
              <c:numCache>
                <c:formatCode>0.0%</c:formatCode>
                <c:ptCount val="13"/>
                <c:pt idx="0">
                  <c:v>5.8823529411764705E-2</c:v>
                </c:pt>
                <c:pt idx="1">
                  <c:v>0</c:v>
                </c:pt>
                <c:pt idx="2">
                  <c:v>6.3348416289592757E-2</c:v>
                </c:pt>
                <c:pt idx="3">
                  <c:v>0.18099547511312217</c:v>
                </c:pt>
                <c:pt idx="4">
                  <c:v>9.5022624434389136E-2</c:v>
                </c:pt>
                <c:pt idx="5">
                  <c:v>6.3348416289592757E-2</c:v>
                </c:pt>
                <c:pt idx="6">
                  <c:v>2.2624434389140271E-2</c:v>
                </c:pt>
                <c:pt idx="7">
                  <c:v>0.21266968325791855</c:v>
                </c:pt>
                <c:pt idx="8">
                  <c:v>0</c:v>
                </c:pt>
                <c:pt idx="9">
                  <c:v>1.8099547511312219E-2</c:v>
                </c:pt>
                <c:pt idx="10">
                  <c:v>9.5022624434389136E-2</c:v>
                </c:pt>
                <c:pt idx="11">
                  <c:v>0</c:v>
                </c:pt>
                <c:pt idx="12">
                  <c:v>0.19004524886877827</c:v>
                </c:pt>
              </c:numCache>
            </c:numRef>
          </c:val>
        </c:ser>
        <c:dLbls>
          <c:showLegendKey val="0"/>
          <c:showVal val="0"/>
          <c:showCatName val="0"/>
          <c:showSerName val="0"/>
          <c:showPercent val="0"/>
          <c:showBubbleSize val="0"/>
        </c:dLbls>
        <c:gapWidth val="150"/>
        <c:axId val="202413568"/>
        <c:axId val="202415488"/>
      </c:barChart>
      <c:catAx>
        <c:axId val="202413568"/>
        <c:scaling>
          <c:orientation val="minMax"/>
        </c:scaling>
        <c:delete val="0"/>
        <c:axPos val="l"/>
        <c:majorTickMark val="out"/>
        <c:minorTickMark val="none"/>
        <c:tickLblPos val="nextTo"/>
        <c:crossAx val="202415488"/>
        <c:crosses val="autoZero"/>
        <c:auto val="1"/>
        <c:lblAlgn val="ctr"/>
        <c:lblOffset val="100"/>
        <c:noMultiLvlLbl val="0"/>
      </c:catAx>
      <c:valAx>
        <c:axId val="202415488"/>
        <c:scaling>
          <c:orientation val="minMax"/>
          <c:max val="1"/>
        </c:scaling>
        <c:delete val="0"/>
        <c:axPos val="b"/>
        <c:numFmt formatCode="0%" sourceLinked="0"/>
        <c:majorTickMark val="out"/>
        <c:minorTickMark val="none"/>
        <c:tickLblPos val="nextTo"/>
        <c:crossAx val="202413568"/>
        <c:crosses val="autoZero"/>
        <c:crossBetween val="between"/>
        <c:majorUnit val="0.2"/>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12E66"/>
    <w:rsid w:val="0013771E"/>
    <w:rsid w:val="002C7AFA"/>
    <w:rsid w:val="003D088C"/>
    <w:rsid w:val="007A6E85"/>
    <w:rsid w:val="008832F3"/>
    <w:rsid w:val="00912E06"/>
    <w:rsid w:val="00B704F3"/>
    <w:rsid w:val="00D35513"/>
    <w:rsid w:val="00E147F2"/>
    <w:rsid w:val="00E16D50"/>
    <w:rsid w:val="00E5085E"/>
    <w:rsid w:val="00FE3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B14CB45-33D8-49A2-9C19-EED708BC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621</TotalTime>
  <Pages>7</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18</cp:revision>
  <cp:lastPrinted>2007-10-26T10:03:00Z</cp:lastPrinted>
  <dcterms:created xsi:type="dcterms:W3CDTF">2021-02-08T09:48:00Z</dcterms:created>
  <dcterms:modified xsi:type="dcterms:W3CDTF">2021-07-19T12:17:00Z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