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D70E63" w:rsidRDefault="00D70E63"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w:t>
                                </w:r>
                                <w:r w:rsidRPr="001A4E12">
                                  <w:rPr>
                                    <w:rFonts w:ascii="Century Gothic" w:hAnsi="Century Gothic"/>
                                    <w:sz w:val="40"/>
                                    <w:szCs w:val="40"/>
                                    <w:lang w:bidi="es-ES"/>
                                  </w:rPr>
                                  <w:t>Ciudad Autónoma de Ceuta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D70E63" w:rsidRDefault="00D70E63"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w:t>
                          </w:r>
                          <w:r w:rsidRPr="001A4E12">
                            <w:rPr>
                              <w:rFonts w:ascii="Century Gothic" w:hAnsi="Century Gothic"/>
                              <w:sz w:val="40"/>
                              <w:szCs w:val="40"/>
                              <w:lang w:bidi="es-ES"/>
                            </w:rPr>
                            <w:t>Ciudad Autónoma de Ceuta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D70E63" w:rsidRDefault="00D70E6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D70E63" w:rsidRDefault="00D70E6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D193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4C1593" w:rsidRPr="007942B7" w:rsidTr="00E77D81">
        <w:trPr>
          <w:trHeight w:val="736"/>
        </w:trPr>
        <w:tc>
          <w:tcPr>
            <w:tcW w:w="2093" w:type="dxa"/>
            <w:vMerge w:val="restart"/>
          </w:tcPr>
          <w:p w:rsidR="004C1593" w:rsidRPr="007942B7" w:rsidRDefault="004C1593" w:rsidP="00AC4A6F">
            <w:pPr>
              <w:rPr>
                <w:sz w:val="20"/>
                <w:szCs w:val="20"/>
              </w:rPr>
            </w:pPr>
            <w:r w:rsidRPr="007942B7">
              <w:rPr>
                <w:sz w:val="20"/>
                <w:szCs w:val="20"/>
              </w:rPr>
              <w:t>Localización y estructuración de la Información</w:t>
            </w:r>
          </w:p>
        </w:tc>
        <w:tc>
          <w:tcPr>
            <w:tcW w:w="4819" w:type="dxa"/>
          </w:tcPr>
          <w:p w:rsidR="004C1593" w:rsidRPr="007942B7" w:rsidRDefault="004C1593" w:rsidP="00E77D81">
            <w:pPr>
              <w:rPr>
                <w:sz w:val="20"/>
                <w:szCs w:val="20"/>
              </w:rPr>
            </w:pPr>
            <w:r>
              <w:rPr>
                <w:sz w:val="20"/>
                <w:szCs w:val="20"/>
              </w:rPr>
              <w:t>Estructurar la información conforme al patrón de la LTAIBG</w:t>
            </w:r>
          </w:p>
        </w:tc>
        <w:tc>
          <w:tcPr>
            <w:tcW w:w="567" w:type="dxa"/>
            <w:vAlign w:val="center"/>
          </w:tcPr>
          <w:p w:rsidR="004C1593" w:rsidRPr="007942B7" w:rsidRDefault="00F66C49" w:rsidP="00183301">
            <w:pPr>
              <w:jc w:val="center"/>
              <w:rPr>
                <w:sz w:val="20"/>
                <w:szCs w:val="20"/>
              </w:rPr>
            </w:pPr>
            <w:r>
              <w:rPr>
                <w:sz w:val="20"/>
                <w:szCs w:val="20"/>
              </w:rPr>
              <w:t>X</w:t>
            </w:r>
          </w:p>
        </w:tc>
        <w:tc>
          <w:tcPr>
            <w:tcW w:w="3203" w:type="dxa"/>
          </w:tcPr>
          <w:p w:rsidR="004C1593" w:rsidRPr="007942B7" w:rsidRDefault="00492635" w:rsidP="002451AF">
            <w:pPr>
              <w:rPr>
                <w:sz w:val="20"/>
                <w:szCs w:val="20"/>
              </w:rPr>
            </w:pPr>
            <w:r>
              <w:rPr>
                <w:sz w:val="20"/>
                <w:szCs w:val="20"/>
              </w:rPr>
              <w:t xml:space="preserve">No. </w:t>
            </w:r>
            <w:r w:rsidR="002451AF">
              <w:rPr>
                <w:sz w:val="20"/>
                <w:szCs w:val="20"/>
              </w:rPr>
              <w:t>La información no se estructura conforme a lo previsto en la LTAIBG</w:t>
            </w:r>
          </w:p>
        </w:tc>
      </w:tr>
      <w:tr w:rsidR="004C1593" w:rsidRPr="007942B7" w:rsidTr="00E77D81">
        <w:trPr>
          <w:trHeight w:val="736"/>
        </w:trPr>
        <w:tc>
          <w:tcPr>
            <w:tcW w:w="2093" w:type="dxa"/>
            <w:vMerge/>
          </w:tcPr>
          <w:p w:rsidR="004C1593" w:rsidRPr="007942B7" w:rsidRDefault="004C1593" w:rsidP="00AC4A6F">
            <w:pPr>
              <w:rPr>
                <w:sz w:val="20"/>
                <w:szCs w:val="20"/>
              </w:rPr>
            </w:pPr>
          </w:p>
        </w:tc>
        <w:tc>
          <w:tcPr>
            <w:tcW w:w="4819" w:type="dxa"/>
          </w:tcPr>
          <w:p w:rsidR="004C1593" w:rsidRDefault="004C1593" w:rsidP="004C1593">
            <w:pPr>
              <w:rPr>
                <w:sz w:val="20"/>
                <w:szCs w:val="20"/>
              </w:rPr>
            </w:pPr>
            <w:r>
              <w:rPr>
                <w:sz w:val="20"/>
                <w:szCs w:val="20"/>
              </w:rPr>
              <w:t>Revisar</w:t>
            </w:r>
            <w:r w:rsidRPr="004C1593">
              <w:rPr>
                <w:sz w:val="20"/>
                <w:szCs w:val="20"/>
              </w:rPr>
              <w:t xml:space="preserve"> la denominación de las diferentes categorías y epígrafes, así como de sus textos introductorios</w:t>
            </w:r>
          </w:p>
        </w:tc>
        <w:tc>
          <w:tcPr>
            <w:tcW w:w="567" w:type="dxa"/>
            <w:vAlign w:val="center"/>
          </w:tcPr>
          <w:p w:rsidR="004C1593" w:rsidRPr="007942B7" w:rsidRDefault="00F66C49" w:rsidP="00183301">
            <w:pPr>
              <w:jc w:val="center"/>
              <w:rPr>
                <w:sz w:val="20"/>
                <w:szCs w:val="20"/>
              </w:rPr>
            </w:pPr>
            <w:r>
              <w:rPr>
                <w:sz w:val="20"/>
                <w:szCs w:val="20"/>
              </w:rPr>
              <w:t>X</w:t>
            </w:r>
          </w:p>
        </w:tc>
        <w:tc>
          <w:tcPr>
            <w:tcW w:w="3203" w:type="dxa"/>
          </w:tcPr>
          <w:p w:rsidR="004C1593" w:rsidRPr="007942B7" w:rsidRDefault="002451AF" w:rsidP="002451AF">
            <w:pPr>
              <w:rPr>
                <w:sz w:val="20"/>
                <w:szCs w:val="20"/>
              </w:rPr>
            </w:pPr>
            <w:r>
              <w:rPr>
                <w:sz w:val="20"/>
                <w:szCs w:val="20"/>
              </w:rPr>
              <w:t xml:space="preserve">No se ha revisado </w:t>
            </w:r>
          </w:p>
        </w:tc>
      </w:tr>
      <w:tr w:rsidR="004C1593" w:rsidRPr="007942B7" w:rsidTr="00E77D81">
        <w:trPr>
          <w:trHeight w:val="736"/>
        </w:trPr>
        <w:tc>
          <w:tcPr>
            <w:tcW w:w="2093" w:type="dxa"/>
            <w:vMerge/>
          </w:tcPr>
          <w:p w:rsidR="004C1593" w:rsidRPr="007942B7" w:rsidRDefault="004C1593" w:rsidP="00AC4A6F">
            <w:pPr>
              <w:rPr>
                <w:sz w:val="20"/>
                <w:szCs w:val="20"/>
              </w:rPr>
            </w:pPr>
          </w:p>
        </w:tc>
        <w:tc>
          <w:tcPr>
            <w:tcW w:w="4819" w:type="dxa"/>
          </w:tcPr>
          <w:p w:rsidR="004C1593" w:rsidRDefault="004C1593" w:rsidP="004C1593">
            <w:pPr>
              <w:rPr>
                <w:sz w:val="20"/>
                <w:szCs w:val="20"/>
              </w:rPr>
            </w:pPr>
            <w:r>
              <w:rPr>
                <w:sz w:val="20"/>
                <w:szCs w:val="20"/>
              </w:rPr>
              <w:t>Revisar</w:t>
            </w:r>
            <w:r w:rsidRPr="004C1593">
              <w:rPr>
                <w:sz w:val="20"/>
                <w:szCs w:val="20"/>
              </w:rPr>
              <w:t xml:space="preserve"> contenidos que no se corresponden con la información objeto de publicidad a la que se refiere la LTAIBG</w:t>
            </w:r>
          </w:p>
        </w:tc>
        <w:tc>
          <w:tcPr>
            <w:tcW w:w="567" w:type="dxa"/>
            <w:vAlign w:val="center"/>
          </w:tcPr>
          <w:p w:rsidR="004C1593" w:rsidRPr="007942B7" w:rsidRDefault="00F66C49" w:rsidP="00183301">
            <w:pPr>
              <w:jc w:val="center"/>
              <w:rPr>
                <w:sz w:val="20"/>
                <w:szCs w:val="20"/>
              </w:rPr>
            </w:pPr>
            <w:r>
              <w:rPr>
                <w:sz w:val="20"/>
                <w:szCs w:val="20"/>
              </w:rPr>
              <w:t>X</w:t>
            </w:r>
          </w:p>
        </w:tc>
        <w:tc>
          <w:tcPr>
            <w:tcW w:w="3203" w:type="dxa"/>
          </w:tcPr>
          <w:p w:rsidR="004C1593" w:rsidRPr="007942B7" w:rsidRDefault="002451AF" w:rsidP="003D2A34">
            <w:pPr>
              <w:rPr>
                <w:sz w:val="20"/>
                <w:szCs w:val="20"/>
              </w:rPr>
            </w:pPr>
            <w:r>
              <w:rPr>
                <w:sz w:val="20"/>
                <w:szCs w:val="20"/>
              </w:rPr>
              <w:t>No se ha revisado</w:t>
            </w:r>
          </w:p>
        </w:tc>
      </w:tr>
      <w:tr w:rsidR="004C1593" w:rsidRPr="007942B7" w:rsidTr="00183301">
        <w:tc>
          <w:tcPr>
            <w:tcW w:w="2093" w:type="dxa"/>
            <w:vMerge w:val="restart"/>
            <w:vAlign w:val="center"/>
          </w:tcPr>
          <w:p w:rsidR="004C1593" w:rsidRPr="00C3228C" w:rsidRDefault="004C1593" w:rsidP="006D4C90">
            <w:pPr>
              <w:rPr>
                <w:sz w:val="20"/>
                <w:szCs w:val="20"/>
              </w:rPr>
            </w:pPr>
            <w:r w:rsidRPr="00C3228C">
              <w:rPr>
                <w:sz w:val="20"/>
                <w:szCs w:val="20"/>
              </w:rPr>
              <w:t>Publicación de Contenidos</w:t>
            </w:r>
          </w:p>
        </w:tc>
        <w:tc>
          <w:tcPr>
            <w:tcW w:w="4819" w:type="dxa"/>
          </w:tcPr>
          <w:p w:rsidR="004C1593" w:rsidRDefault="004C1593" w:rsidP="004C1593">
            <w:pPr>
              <w:rPr>
                <w:sz w:val="20"/>
                <w:szCs w:val="20"/>
              </w:rPr>
            </w:pPr>
            <w:r>
              <w:rPr>
                <w:sz w:val="20"/>
                <w:szCs w:val="20"/>
              </w:rPr>
              <w:t>P</w:t>
            </w:r>
            <w:r w:rsidRPr="004C1593">
              <w:rPr>
                <w:sz w:val="20"/>
                <w:szCs w:val="20"/>
              </w:rPr>
              <w:t>ublicar el organigrama de la Administración de la Ciudad Autónoma Corporación Local</w:t>
            </w:r>
          </w:p>
        </w:tc>
        <w:tc>
          <w:tcPr>
            <w:tcW w:w="567" w:type="dxa"/>
            <w:vAlign w:val="center"/>
          </w:tcPr>
          <w:p w:rsidR="004C1593" w:rsidRDefault="00F66C49" w:rsidP="00183301">
            <w:pPr>
              <w:jc w:val="center"/>
              <w:rPr>
                <w:sz w:val="20"/>
                <w:szCs w:val="20"/>
              </w:rPr>
            </w:pPr>
            <w:r>
              <w:rPr>
                <w:sz w:val="20"/>
                <w:szCs w:val="20"/>
              </w:rPr>
              <w:t>X</w:t>
            </w:r>
          </w:p>
        </w:tc>
        <w:tc>
          <w:tcPr>
            <w:tcW w:w="3203" w:type="dxa"/>
          </w:tcPr>
          <w:p w:rsidR="004C1593" w:rsidRPr="007942B7" w:rsidRDefault="00492635" w:rsidP="00AC4A6F">
            <w:pPr>
              <w:rPr>
                <w:sz w:val="20"/>
                <w:szCs w:val="20"/>
              </w:rPr>
            </w:pPr>
            <w:r>
              <w:rPr>
                <w:sz w:val="20"/>
                <w:szCs w:val="20"/>
              </w:rPr>
              <w:t>No</w:t>
            </w:r>
          </w:p>
        </w:tc>
      </w:tr>
      <w:tr w:rsidR="004C1593" w:rsidRPr="007942B7" w:rsidTr="00183301">
        <w:tc>
          <w:tcPr>
            <w:tcW w:w="2093" w:type="dxa"/>
            <w:vMerge/>
          </w:tcPr>
          <w:p w:rsidR="004C1593" w:rsidRPr="007942B7" w:rsidRDefault="004C1593" w:rsidP="00AC4A6F">
            <w:pPr>
              <w:rPr>
                <w:sz w:val="20"/>
                <w:szCs w:val="20"/>
              </w:rPr>
            </w:pPr>
          </w:p>
        </w:tc>
        <w:tc>
          <w:tcPr>
            <w:tcW w:w="4819" w:type="dxa"/>
          </w:tcPr>
          <w:p w:rsidR="004C1593" w:rsidRPr="007942B7" w:rsidRDefault="00AD193E" w:rsidP="00E77D81">
            <w:pPr>
              <w:rPr>
                <w:sz w:val="20"/>
                <w:szCs w:val="20"/>
              </w:rPr>
            </w:pPr>
            <w:r>
              <w:rPr>
                <w:sz w:val="20"/>
                <w:szCs w:val="20"/>
              </w:rPr>
              <w:t>Describir</w:t>
            </w:r>
            <w:r w:rsidR="004C1593">
              <w:rPr>
                <w:sz w:val="20"/>
                <w:szCs w:val="20"/>
              </w:rPr>
              <w:t xml:space="preserve"> la estructura</w:t>
            </w:r>
            <w:r>
              <w:rPr>
                <w:sz w:val="20"/>
                <w:szCs w:val="20"/>
              </w:rPr>
              <w:t xml:space="preserve"> organizativa</w:t>
            </w:r>
          </w:p>
        </w:tc>
        <w:tc>
          <w:tcPr>
            <w:tcW w:w="567" w:type="dxa"/>
            <w:vAlign w:val="center"/>
          </w:tcPr>
          <w:p w:rsidR="004C1593" w:rsidRPr="007942B7" w:rsidRDefault="00F66C49" w:rsidP="00183301">
            <w:pPr>
              <w:jc w:val="center"/>
              <w:rPr>
                <w:sz w:val="20"/>
                <w:szCs w:val="20"/>
              </w:rPr>
            </w:pPr>
            <w:r>
              <w:rPr>
                <w:sz w:val="20"/>
                <w:szCs w:val="20"/>
              </w:rPr>
              <w:t>X</w:t>
            </w:r>
          </w:p>
        </w:tc>
        <w:tc>
          <w:tcPr>
            <w:tcW w:w="3203" w:type="dxa"/>
          </w:tcPr>
          <w:p w:rsidR="00052BB4" w:rsidRPr="007942B7" w:rsidRDefault="007407C6" w:rsidP="00052BB4">
            <w:pPr>
              <w:rPr>
                <w:sz w:val="20"/>
                <w:szCs w:val="20"/>
              </w:rPr>
            </w:pPr>
            <w:r>
              <w:rPr>
                <w:sz w:val="20"/>
                <w:szCs w:val="20"/>
              </w:rPr>
              <w:t>No hay una presentación del conjunto de la estructura organizativa</w:t>
            </w:r>
          </w:p>
        </w:tc>
      </w:tr>
      <w:tr w:rsidR="004C1593" w:rsidRPr="007942B7" w:rsidTr="000E5A95">
        <w:trPr>
          <w:trHeight w:val="1011"/>
        </w:trPr>
        <w:tc>
          <w:tcPr>
            <w:tcW w:w="2093" w:type="dxa"/>
            <w:vMerge/>
          </w:tcPr>
          <w:p w:rsidR="004C1593" w:rsidRPr="007942B7" w:rsidRDefault="004C1593" w:rsidP="00AC4A6F">
            <w:pPr>
              <w:rPr>
                <w:sz w:val="20"/>
                <w:szCs w:val="20"/>
              </w:rPr>
            </w:pPr>
          </w:p>
        </w:tc>
        <w:tc>
          <w:tcPr>
            <w:tcW w:w="4819" w:type="dxa"/>
          </w:tcPr>
          <w:p w:rsidR="004C1593" w:rsidRPr="007942B7" w:rsidRDefault="004C1593" w:rsidP="00271F20">
            <w:pPr>
              <w:rPr>
                <w:sz w:val="20"/>
                <w:szCs w:val="20"/>
              </w:rPr>
            </w:pPr>
            <w:r>
              <w:rPr>
                <w:sz w:val="20"/>
                <w:szCs w:val="20"/>
              </w:rPr>
              <w:t xml:space="preserve">Publicar </w:t>
            </w:r>
            <w:r w:rsidRPr="004C1593">
              <w:rPr>
                <w:sz w:val="20"/>
                <w:szCs w:val="20"/>
              </w:rPr>
              <w:t>perfil y trayectoria profesional de todos los responsables de órganos</w:t>
            </w:r>
          </w:p>
        </w:tc>
        <w:tc>
          <w:tcPr>
            <w:tcW w:w="567" w:type="dxa"/>
            <w:vAlign w:val="center"/>
          </w:tcPr>
          <w:p w:rsidR="004C1593" w:rsidRPr="00183301" w:rsidRDefault="00AD4F86" w:rsidP="00183301">
            <w:pPr>
              <w:jc w:val="center"/>
              <w:rPr>
                <w:sz w:val="20"/>
                <w:szCs w:val="20"/>
              </w:rPr>
            </w:pPr>
            <w:r>
              <w:rPr>
                <w:sz w:val="20"/>
                <w:szCs w:val="20"/>
              </w:rPr>
              <w:t>X</w:t>
            </w:r>
          </w:p>
        </w:tc>
        <w:tc>
          <w:tcPr>
            <w:tcW w:w="3203" w:type="dxa"/>
          </w:tcPr>
          <w:p w:rsidR="004C1593" w:rsidRPr="007942B7" w:rsidRDefault="00492635" w:rsidP="00492635">
            <w:pPr>
              <w:rPr>
                <w:sz w:val="20"/>
                <w:szCs w:val="20"/>
              </w:rPr>
            </w:pPr>
            <w:r>
              <w:rPr>
                <w:sz w:val="20"/>
                <w:szCs w:val="20"/>
              </w:rPr>
              <w:t xml:space="preserve">No. </w:t>
            </w:r>
            <w:r w:rsidR="00AD4F86">
              <w:rPr>
                <w:sz w:val="20"/>
                <w:szCs w:val="20"/>
              </w:rPr>
              <w:t xml:space="preserve">Se publica el CV de los Consejeros, no así de </w:t>
            </w:r>
            <w:proofErr w:type="spellStart"/>
            <w:r w:rsidR="00AD4F86">
              <w:rPr>
                <w:sz w:val="20"/>
                <w:szCs w:val="20"/>
              </w:rPr>
              <w:t>Viceconsejeros</w:t>
            </w:r>
            <w:proofErr w:type="spellEnd"/>
            <w:r w:rsidR="00AD4F86">
              <w:rPr>
                <w:sz w:val="20"/>
                <w:szCs w:val="20"/>
              </w:rPr>
              <w:t xml:space="preserve"> y Directores</w:t>
            </w:r>
          </w:p>
        </w:tc>
      </w:tr>
      <w:tr w:rsidR="00492635" w:rsidRPr="007942B7" w:rsidTr="000E5A95">
        <w:trPr>
          <w:trHeight w:val="1011"/>
        </w:trPr>
        <w:tc>
          <w:tcPr>
            <w:tcW w:w="2093" w:type="dxa"/>
            <w:vMerge/>
          </w:tcPr>
          <w:p w:rsidR="00492635" w:rsidRPr="007942B7" w:rsidRDefault="00492635" w:rsidP="00AC4A6F">
            <w:pPr>
              <w:rPr>
                <w:sz w:val="20"/>
                <w:szCs w:val="20"/>
              </w:rPr>
            </w:pPr>
          </w:p>
        </w:tc>
        <w:tc>
          <w:tcPr>
            <w:tcW w:w="4819" w:type="dxa"/>
          </w:tcPr>
          <w:p w:rsidR="00492635" w:rsidRPr="007942B7" w:rsidRDefault="00492635" w:rsidP="004C1593">
            <w:pPr>
              <w:rPr>
                <w:sz w:val="20"/>
                <w:szCs w:val="20"/>
              </w:rPr>
            </w:pPr>
            <w:r>
              <w:rPr>
                <w:sz w:val="20"/>
                <w:szCs w:val="20"/>
              </w:rPr>
              <w:t>I</w:t>
            </w:r>
            <w:r w:rsidRPr="004C1593">
              <w:rPr>
                <w:sz w:val="20"/>
                <w:szCs w:val="20"/>
              </w:rPr>
              <w:t>nformar sobre el grado de cumplimiento y resultados, e indicadores de medida y valoración de los planes que aparecen publicados</w:t>
            </w:r>
          </w:p>
        </w:tc>
        <w:tc>
          <w:tcPr>
            <w:tcW w:w="567" w:type="dxa"/>
            <w:vAlign w:val="center"/>
          </w:tcPr>
          <w:p w:rsidR="00492635" w:rsidRPr="00183301" w:rsidRDefault="00492635" w:rsidP="00183301">
            <w:pPr>
              <w:jc w:val="center"/>
              <w:rPr>
                <w:sz w:val="20"/>
                <w:szCs w:val="20"/>
              </w:rPr>
            </w:pPr>
            <w:r>
              <w:rPr>
                <w:sz w:val="20"/>
                <w:szCs w:val="20"/>
              </w:rPr>
              <w:t>X</w:t>
            </w:r>
          </w:p>
        </w:tc>
        <w:tc>
          <w:tcPr>
            <w:tcW w:w="3203" w:type="dxa"/>
          </w:tcPr>
          <w:p w:rsidR="00492635" w:rsidRDefault="00492635">
            <w:r w:rsidRPr="00D569D0">
              <w:rPr>
                <w:sz w:val="20"/>
                <w:szCs w:val="20"/>
              </w:rPr>
              <w:t xml:space="preserve">No </w:t>
            </w:r>
          </w:p>
        </w:tc>
      </w:tr>
      <w:tr w:rsidR="00492635" w:rsidRPr="007942B7" w:rsidTr="000E5A95">
        <w:trPr>
          <w:trHeight w:val="1011"/>
        </w:trPr>
        <w:tc>
          <w:tcPr>
            <w:tcW w:w="2093" w:type="dxa"/>
            <w:vMerge/>
          </w:tcPr>
          <w:p w:rsidR="00492635" w:rsidRPr="007942B7" w:rsidRDefault="00492635" w:rsidP="00AC4A6F">
            <w:pPr>
              <w:rPr>
                <w:sz w:val="20"/>
                <w:szCs w:val="20"/>
              </w:rPr>
            </w:pPr>
          </w:p>
        </w:tc>
        <w:tc>
          <w:tcPr>
            <w:tcW w:w="4819" w:type="dxa"/>
          </w:tcPr>
          <w:p w:rsidR="00492635" w:rsidRPr="007942B7" w:rsidRDefault="00492635" w:rsidP="004C1593">
            <w:pPr>
              <w:rPr>
                <w:sz w:val="20"/>
                <w:szCs w:val="20"/>
              </w:rPr>
            </w:pPr>
            <w:r>
              <w:rPr>
                <w:sz w:val="20"/>
                <w:szCs w:val="20"/>
              </w:rPr>
              <w:t>Publicar</w:t>
            </w:r>
            <w:r w:rsidRPr="004C1593">
              <w:rPr>
                <w:sz w:val="20"/>
                <w:szCs w:val="20"/>
              </w:rPr>
              <w:t xml:space="preserve"> el inventario de actividades de tratamiento</w:t>
            </w:r>
          </w:p>
        </w:tc>
        <w:tc>
          <w:tcPr>
            <w:tcW w:w="567" w:type="dxa"/>
            <w:vAlign w:val="center"/>
          </w:tcPr>
          <w:p w:rsidR="00492635" w:rsidRPr="00183301" w:rsidRDefault="00492635" w:rsidP="00183301">
            <w:pPr>
              <w:jc w:val="center"/>
              <w:rPr>
                <w:sz w:val="20"/>
                <w:szCs w:val="20"/>
              </w:rPr>
            </w:pPr>
            <w:r>
              <w:rPr>
                <w:sz w:val="20"/>
                <w:szCs w:val="20"/>
              </w:rPr>
              <w:t>X</w:t>
            </w:r>
          </w:p>
        </w:tc>
        <w:tc>
          <w:tcPr>
            <w:tcW w:w="3203" w:type="dxa"/>
          </w:tcPr>
          <w:p w:rsidR="00492635" w:rsidRDefault="00492635">
            <w:r w:rsidRPr="00D569D0">
              <w:rPr>
                <w:sz w:val="20"/>
                <w:szCs w:val="20"/>
              </w:rPr>
              <w:t xml:space="preserve">No </w:t>
            </w:r>
          </w:p>
        </w:tc>
      </w:tr>
      <w:tr w:rsidR="00492635" w:rsidRPr="007942B7" w:rsidTr="000E5A95">
        <w:trPr>
          <w:trHeight w:val="1011"/>
        </w:trPr>
        <w:tc>
          <w:tcPr>
            <w:tcW w:w="2093" w:type="dxa"/>
            <w:vMerge/>
          </w:tcPr>
          <w:p w:rsidR="00492635" w:rsidRPr="007942B7" w:rsidRDefault="00492635" w:rsidP="00AC4A6F">
            <w:pPr>
              <w:rPr>
                <w:sz w:val="20"/>
                <w:szCs w:val="20"/>
              </w:rPr>
            </w:pPr>
          </w:p>
        </w:tc>
        <w:tc>
          <w:tcPr>
            <w:tcW w:w="4819" w:type="dxa"/>
          </w:tcPr>
          <w:p w:rsidR="00492635" w:rsidRPr="007942B7" w:rsidRDefault="00492635" w:rsidP="004C1593">
            <w:pPr>
              <w:rPr>
                <w:sz w:val="20"/>
                <w:szCs w:val="20"/>
              </w:rPr>
            </w:pPr>
            <w:r>
              <w:rPr>
                <w:sz w:val="20"/>
                <w:szCs w:val="20"/>
              </w:rPr>
              <w:t>I</w:t>
            </w:r>
            <w:r w:rsidRPr="004C1593">
              <w:rPr>
                <w:sz w:val="20"/>
                <w:szCs w:val="20"/>
              </w:rPr>
              <w:t>nformar de las directrices, instrucciones, acuerdos, circulares o respuestas a consultas planteadas por los particulares en la medida en que supongan una interpretación del Derecho o tengan efectos jurídicos</w:t>
            </w:r>
          </w:p>
        </w:tc>
        <w:tc>
          <w:tcPr>
            <w:tcW w:w="567" w:type="dxa"/>
            <w:vAlign w:val="center"/>
          </w:tcPr>
          <w:p w:rsidR="00492635" w:rsidRPr="00183301" w:rsidRDefault="00492635" w:rsidP="00183301">
            <w:pPr>
              <w:jc w:val="center"/>
              <w:rPr>
                <w:sz w:val="20"/>
                <w:szCs w:val="20"/>
              </w:rPr>
            </w:pPr>
            <w:r>
              <w:rPr>
                <w:sz w:val="20"/>
                <w:szCs w:val="20"/>
              </w:rPr>
              <w:t>X</w:t>
            </w:r>
          </w:p>
        </w:tc>
        <w:tc>
          <w:tcPr>
            <w:tcW w:w="3203" w:type="dxa"/>
          </w:tcPr>
          <w:p w:rsidR="00492635" w:rsidRDefault="00492635">
            <w:r w:rsidRPr="00D569D0">
              <w:rPr>
                <w:sz w:val="20"/>
                <w:szCs w:val="20"/>
              </w:rPr>
              <w:t xml:space="preserve">No </w:t>
            </w:r>
          </w:p>
        </w:tc>
      </w:tr>
      <w:tr w:rsidR="00492635" w:rsidRPr="007942B7" w:rsidTr="000E5A95">
        <w:trPr>
          <w:trHeight w:val="1011"/>
        </w:trPr>
        <w:tc>
          <w:tcPr>
            <w:tcW w:w="2093" w:type="dxa"/>
            <w:vMerge/>
          </w:tcPr>
          <w:p w:rsidR="00492635" w:rsidRPr="007942B7" w:rsidRDefault="00492635" w:rsidP="00AC4A6F">
            <w:pPr>
              <w:rPr>
                <w:sz w:val="20"/>
                <w:szCs w:val="20"/>
              </w:rPr>
            </w:pPr>
          </w:p>
        </w:tc>
        <w:tc>
          <w:tcPr>
            <w:tcW w:w="4819" w:type="dxa"/>
          </w:tcPr>
          <w:p w:rsidR="00492635" w:rsidRPr="007942B7" w:rsidRDefault="00492635" w:rsidP="004C1593">
            <w:pPr>
              <w:rPr>
                <w:sz w:val="20"/>
                <w:szCs w:val="20"/>
              </w:rPr>
            </w:pPr>
            <w:r>
              <w:rPr>
                <w:sz w:val="20"/>
                <w:szCs w:val="20"/>
              </w:rPr>
              <w:t>I</w:t>
            </w:r>
            <w:r w:rsidRPr="004C1593">
              <w:rPr>
                <w:sz w:val="20"/>
                <w:szCs w:val="20"/>
              </w:rPr>
              <w:t>nformar de los proyectos de las disposiciones reglamentarias cuya iniciativa les corresponda</w:t>
            </w:r>
          </w:p>
        </w:tc>
        <w:tc>
          <w:tcPr>
            <w:tcW w:w="567" w:type="dxa"/>
            <w:vAlign w:val="center"/>
          </w:tcPr>
          <w:p w:rsidR="00492635" w:rsidRPr="00183301" w:rsidRDefault="00492635" w:rsidP="00183301">
            <w:pPr>
              <w:jc w:val="center"/>
              <w:rPr>
                <w:sz w:val="20"/>
                <w:szCs w:val="20"/>
              </w:rPr>
            </w:pPr>
            <w:r>
              <w:rPr>
                <w:sz w:val="20"/>
                <w:szCs w:val="20"/>
              </w:rPr>
              <w:t>X</w:t>
            </w:r>
          </w:p>
        </w:tc>
        <w:tc>
          <w:tcPr>
            <w:tcW w:w="3203" w:type="dxa"/>
          </w:tcPr>
          <w:p w:rsidR="00492635" w:rsidRDefault="00492635">
            <w:r w:rsidRPr="00D569D0">
              <w:rPr>
                <w:sz w:val="20"/>
                <w:szCs w:val="20"/>
              </w:rPr>
              <w:t xml:space="preserve">No </w:t>
            </w:r>
          </w:p>
        </w:tc>
      </w:tr>
      <w:tr w:rsidR="00925BF3" w:rsidRPr="007942B7" w:rsidTr="000E5A95">
        <w:trPr>
          <w:trHeight w:val="1011"/>
        </w:trPr>
        <w:tc>
          <w:tcPr>
            <w:tcW w:w="2093" w:type="dxa"/>
            <w:vMerge w:val="restart"/>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P</w:t>
            </w:r>
            <w:r w:rsidRPr="00685B59">
              <w:rPr>
                <w:sz w:val="20"/>
                <w:szCs w:val="20"/>
              </w:rPr>
              <w:t>ublicar fichas resumen de las licitaciones que recojan la información obligatoria establecida por el artículo 8.1</w:t>
            </w:r>
            <w:r>
              <w:rPr>
                <w:sz w:val="20"/>
                <w:szCs w:val="20"/>
              </w:rPr>
              <w:t>.a) LTAIBG</w:t>
            </w:r>
          </w:p>
        </w:tc>
        <w:tc>
          <w:tcPr>
            <w:tcW w:w="567" w:type="dxa"/>
            <w:vAlign w:val="center"/>
          </w:tcPr>
          <w:p w:rsidR="00925BF3" w:rsidRPr="00183301" w:rsidRDefault="00925BF3"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271F20">
            <w:pPr>
              <w:rPr>
                <w:sz w:val="20"/>
                <w:szCs w:val="20"/>
              </w:rPr>
            </w:pPr>
            <w:r>
              <w:rPr>
                <w:sz w:val="20"/>
                <w:szCs w:val="20"/>
              </w:rPr>
              <w:t xml:space="preserve">Publicar </w:t>
            </w:r>
            <w:r w:rsidRPr="00685B59">
              <w:rPr>
                <w:sz w:val="20"/>
                <w:szCs w:val="20"/>
              </w:rPr>
              <w:t>información estadística sobre el porcentaje en volumen presupuestario de contratos adjudicados a través de cada uno de los procedimientos previstos</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I</w:t>
            </w:r>
            <w:r w:rsidRPr="00685B59">
              <w:rPr>
                <w:sz w:val="20"/>
                <w:szCs w:val="20"/>
              </w:rPr>
              <w:t>nformar de la relación de los convenios suscritos, con mención de las partes firmantes, su objeto, plazo de duración, modificaciones realizadas, obligados a la realización de las prestaciones y, en su caso, las obligaciones económicas convenida</w:t>
            </w:r>
            <w:r>
              <w:rPr>
                <w:sz w:val="20"/>
                <w:szCs w:val="20"/>
              </w:rPr>
              <w:t>s</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P</w:t>
            </w:r>
            <w:r w:rsidRPr="00685B59">
              <w:rPr>
                <w:sz w:val="20"/>
                <w:szCs w:val="20"/>
              </w:rPr>
              <w:t>ublicar las cuentas anuales que deban rendirse y completarse la información sobre informes de fiscalización, sin perjuicio de la remisión a fuentes externas</w:t>
            </w:r>
          </w:p>
        </w:tc>
        <w:tc>
          <w:tcPr>
            <w:tcW w:w="567" w:type="dxa"/>
            <w:vAlign w:val="center"/>
          </w:tcPr>
          <w:p w:rsidR="00925BF3" w:rsidRPr="00183301" w:rsidRDefault="00925BF3"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I</w:t>
            </w:r>
            <w:r w:rsidRPr="00685B59">
              <w:rPr>
                <w:sz w:val="20"/>
                <w:szCs w:val="20"/>
              </w:rPr>
              <w:t>nformar de las resoluciones que autoricen el ejercicio de actividad privada con motivo del cese de los altos cargos de la Ciudad Autónoma de Ceuta</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925BF3" w:rsidP="00492635">
            <w:pPr>
              <w:rPr>
                <w:sz w:val="20"/>
                <w:szCs w:val="20"/>
              </w:rPr>
            </w:pPr>
            <w:r>
              <w:rPr>
                <w:sz w:val="20"/>
                <w:szCs w:val="20"/>
              </w:rPr>
              <w:t xml:space="preserve">No </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P</w:t>
            </w:r>
            <w:r w:rsidRPr="00685B59">
              <w:rPr>
                <w:sz w:val="20"/>
                <w:szCs w:val="20"/>
              </w:rPr>
              <w:t>ublicar la información estadística para valorar el grado de cumplimiento y calidad de los servicios públicos que sean de su competencia</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925BF3" w:rsidP="00492635">
            <w:pPr>
              <w:rPr>
                <w:sz w:val="20"/>
                <w:szCs w:val="20"/>
              </w:rPr>
            </w:pPr>
            <w:r>
              <w:rPr>
                <w:sz w:val="20"/>
                <w:szCs w:val="20"/>
              </w:rPr>
              <w:t xml:space="preserve">No </w:t>
            </w:r>
          </w:p>
        </w:tc>
      </w:tr>
      <w:tr w:rsidR="00925BF3" w:rsidRPr="007942B7" w:rsidTr="000E5A95">
        <w:trPr>
          <w:trHeight w:val="1011"/>
        </w:trPr>
        <w:tc>
          <w:tcPr>
            <w:tcW w:w="2093" w:type="dxa"/>
            <w:vMerge/>
          </w:tcPr>
          <w:p w:rsidR="00925BF3" w:rsidRPr="007942B7" w:rsidRDefault="00925BF3" w:rsidP="00AC4A6F">
            <w:pPr>
              <w:rPr>
                <w:sz w:val="20"/>
                <w:szCs w:val="20"/>
              </w:rPr>
            </w:pPr>
          </w:p>
        </w:tc>
        <w:tc>
          <w:tcPr>
            <w:tcW w:w="4819" w:type="dxa"/>
          </w:tcPr>
          <w:p w:rsidR="00925BF3" w:rsidRPr="007942B7" w:rsidRDefault="00925BF3" w:rsidP="00685B59">
            <w:pPr>
              <w:rPr>
                <w:sz w:val="20"/>
                <w:szCs w:val="20"/>
              </w:rPr>
            </w:pPr>
            <w:r>
              <w:rPr>
                <w:sz w:val="20"/>
                <w:szCs w:val="20"/>
              </w:rPr>
              <w:t>Publicar</w:t>
            </w:r>
            <w:r w:rsidRPr="00685B59">
              <w:rPr>
                <w:sz w:val="20"/>
                <w:szCs w:val="20"/>
              </w:rPr>
              <w:t xml:space="preserve"> la relación de bienes inmuebles propiedad de la Ciudad Autónoma de Ceuta o sobre las que ostente algún derecho real</w:t>
            </w:r>
          </w:p>
        </w:tc>
        <w:tc>
          <w:tcPr>
            <w:tcW w:w="567" w:type="dxa"/>
            <w:vAlign w:val="center"/>
          </w:tcPr>
          <w:p w:rsidR="00925BF3" w:rsidRPr="00183301" w:rsidRDefault="00F66C49" w:rsidP="00183301">
            <w:pPr>
              <w:jc w:val="center"/>
              <w:rPr>
                <w:sz w:val="20"/>
                <w:szCs w:val="20"/>
              </w:rPr>
            </w:pPr>
            <w:r>
              <w:rPr>
                <w:sz w:val="20"/>
                <w:szCs w:val="20"/>
              </w:rPr>
              <w:t>X</w:t>
            </w:r>
          </w:p>
        </w:tc>
        <w:tc>
          <w:tcPr>
            <w:tcW w:w="3203" w:type="dxa"/>
          </w:tcPr>
          <w:p w:rsidR="00925BF3" w:rsidRPr="007942B7" w:rsidRDefault="00492635" w:rsidP="00A0626F">
            <w:pPr>
              <w:rPr>
                <w:sz w:val="20"/>
                <w:szCs w:val="20"/>
              </w:rPr>
            </w:pPr>
            <w:r>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F66C49" w:rsidP="00183301">
            <w:pPr>
              <w:jc w:val="center"/>
              <w:rPr>
                <w:sz w:val="20"/>
                <w:szCs w:val="20"/>
              </w:rPr>
            </w:pPr>
            <w:r>
              <w:rPr>
                <w:sz w:val="20"/>
                <w:szCs w:val="20"/>
              </w:rPr>
              <w:t>X</w:t>
            </w:r>
          </w:p>
        </w:tc>
        <w:tc>
          <w:tcPr>
            <w:tcW w:w="3203" w:type="dxa"/>
          </w:tcPr>
          <w:p w:rsidR="00183301" w:rsidRPr="007942B7" w:rsidRDefault="00492635" w:rsidP="00EC3D69">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D87529" w:rsidP="00183301">
            <w:pPr>
              <w:jc w:val="center"/>
              <w:rPr>
                <w:sz w:val="20"/>
                <w:szCs w:val="20"/>
              </w:rPr>
            </w:pPr>
            <w:r>
              <w:rPr>
                <w:sz w:val="20"/>
                <w:szCs w:val="20"/>
              </w:rPr>
              <w:t>X</w:t>
            </w:r>
          </w:p>
        </w:tc>
        <w:tc>
          <w:tcPr>
            <w:tcW w:w="3203" w:type="dxa"/>
          </w:tcPr>
          <w:p w:rsidR="006D4C90" w:rsidRPr="007942B7" w:rsidRDefault="00CE489F" w:rsidP="00BA14E6">
            <w:pPr>
              <w:rPr>
                <w:sz w:val="20"/>
                <w:szCs w:val="20"/>
              </w:rPr>
            </w:pPr>
            <w:r>
              <w:rPr>
                <w:sz w:val="20"/>
                <w:szCs w:val="20"/>
              </w:rPr>
              <w:t xml:space="preserve">Revisada de oficio. </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F66C49" w:rsidP="00183301">
            <w:pPr>
              <w:jc w:val="center"/>
              <w:rPr>
                <w:sz w:val="20"/>
                <w:szCs w:val="20"/>
              </w:rPr>
            </w:pPr>
            <w:r>
              <w:rPr>
                <w:sz w:val="20"/>
                <w:szCs w:val="20"/>
              </w:rPr>
              <w:t>X</w:t>
            </w:r>
          </w:p>
        </w:tc>
        <w:tc>
          <w:tcPr>
            <w:tcW w:w="3203" w:type="dxa"/>
          </w:tcPr>
          <w:p w:rsidR="00420A46" w:rsidRPr="007942B7" w:rsidRDefault="00492635" w:rsidP="00420A46">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C41A3F" w:rsidP="00807495">
            <w:pPr>
              <w:jc w:val="center"/>
              <w:rPr>
                <w:b/>
                <w:sz w:val="20"/>
                <w:szCs w:val="20"/>
              </w:rPr>
            </w:pPr>
            <w:r>
              <w:rPr>
                <w:b/>
                <w:sz w:val="20"/>
                <w:szCs w:val="20"/>
              </w:rPr>
              <w:t>22</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160944" w:rsidP="00AC4A6F">
      <w:r>
        <w:t>La Ciudad Autónoma de Ceuta no ha aplicado ninguna de las recomendaciones derivadas de la evaluación realizada por este Consejo en 2020.</w:t>
      </w:r>
    </w:p>
    <w:p w:rsidR="007C58D1" w:rsidRDefault="007C58D1" w:rsidP="00876480">
      <w:pPr>
        <w:jc w:val="both"/>
      </w:pPr>
    </w:p>
    <w:p w:rsidR="00E02FE5" w:rsidRDefault="00E02FE5" w:rsidP="00876480">
      <w:pPr>
        <w:jc w:val="both"/>
      </w:pPr>
    </w:p>
    <w:p w:rsidR="00B853D9" w:rsidRDefault="00B853D9"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160944" w:rsidRDefault="00160944" w:rsidP="00876480">
      <w:pPr>
        <w:jc w:val="both"/>
      </w:pPr>
    </w:p>
    <w:p w:rsidR="00D87529" w:rsidRDefault="00D87529" w:rsidP="00D87529">
      <w:pPr>
        <w:jc w:val="both"/>
      </w:pPr>
    </w:p>
    <w:p w:rsidR="00D87529" w:rsidRDefault="00D87529" w:rsidP="00D87529">
      <w:pPr>
        <w:jc w:val="both"/>
        <w:rPr>
          <w:lang w:bidi="es-ES"/>
        </w:rPr>
      </w:pPr>
    </w:p>
    <w:p w:rsidR="001A4E12" w:rsidRDefault="001A4E12" w:rsidP="00C02D3B"/>
    <w:p w:rsidR="003F6EDC" w:rsidRPr="00C02D3B" w:rsidRDefault="002D27E4" w:rsidP="00C02D3B">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0E63" w:rsidRPr="00F31BC3" w:rsidRDefault="00D70E63"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D70E63" w:rsidRPr="00F31BC3" w:rsidRDefault="00D70E63"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492635" w:rsidRPr="00225B8D" w:rsidTr="00492635">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492635" w:rsidRPr="00225B8D" w:rsidRDefault="00492635" w:rsidP="0049263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492635" w:rsidRPr="00225B8D" w:rsidTr="0049263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92635" w:rsidRPr="00225B8D" w:rsidRDefault="00492635" w:rsidP="00492635">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65,0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65,0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65,0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50,0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70,0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70,0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35,0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60,0</w:t>
            </w:r>
          </w:p>
        </w:tc>
      </w:tr>
      <w:tr w:rsidR="00492635" w:rsidRPr="00225B8D" w:rsidTr="00492635">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92635" w:rsidRPr="00225B8D" w:rsidRDefault="00492635" w:rsidP="00492635">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50,0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50,0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25,0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30,0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50,0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25,0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37,5</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38,2</w:t>
            </w:r>
          </w:p>
        </w:tc>
      </w:tr>
      <w:tr w:rsidR="00492635" w:rsidRPr="00225B8D" w:rsidTr="0049263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92635" w:rsidRPr="00225B8D" w:rsidRDefault="00492635" w:rsidP="00492635">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72,7</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50,0</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72,7</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49,1</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72,7</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59,1</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65,9</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sz w:val="18"/>
                <w:szCs w:val="18"/>
              </w:rPr>
            </w:pPr>
            <w:r w:rsidRPr="00492635">
              <w:rPr>
                <w:sz w:val="18"/>
                <w:szCs w:val="18"/>
              </w:rPr>
              <w:t>63,2</w:t>
            </w:r>
          </w:p>
        </w:tc>
      </w:tr>
      <w:tr w:rsidR="00492635" w:rsidRPr="00225B8D" w:rsidTr="00492635">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92635" w:rsidRPr="00225B8D" w:rsidRDefault="00492635" w:rsidP="00492635">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c>
          <w:tcPr>
            <w:tcW w:w="0" w:type="auto"/>
            <w:noWrap/>
          </w:tcPr>
          <w:p w:rsidR="00492635" w:rsidRPr="00492635" w:rsidRDefault="00492635" w:rsidP="00492635">
            <w:pPr>
              <w:cnfStyle w:val="000000000000" w:firstRow="0" w:lastRow="0" w:firstColumn="0" w:lastColumn="0" w:oddVBand="0" w:evenVBand="0" w:oddHBand="0" w:evenHBand="0" w:firstRowFirstColumn="0" w:firstRowLastColumn="0" w:lastRowFirstColumn="0" w:lastRowLastColumn="0"/>
              <w:rPr>
                <w:sz w:val="18"/>
                <w:szCs w:val="18"/>
              </w:rPr>
            </w:pPr>
            <w:r w:rsidRPr="00492635">
              <w:rPr>
                <w:sz w:val="18"/>
                <w:szCs w:val="18"/>
              </w:rPr>
              <w:t>0,0</w:t>
            </w:r>
          </w:p>
        </w:tc>
      </w:tr>
      <w:tr w:rsidR="00492635" w:rsidRPr="00225B8D" w:rsidTr="0049263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92635" w:rsidRPr="00225B8D" w:rsidRDefault="00492635" w:rsidP="00492635">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68,1</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54,2</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65,3</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47,2</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69,4</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58,3</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54,2</w:t>
            </w:r>
          </w:p>
        </w:tc>
        <w:tc>
          <w:tcPr>
            <w:tcW w:w="0" w:type="auto"/>
            <w:noWrap/>
          </w:tcPr>
          <w:p w:rsidR="00492635" w:rsidRPr="00492635" w:rsidRDefault="00492635" w:rsidP="00492635">
            <w:pPr>
              <w:cnfStyle w:val="000000100000" w:firstRow="0" w:lastRow="0" w:firstColumn="0" w:lastColumn="0" w:oddVBand="0" w:evenVBand="0" w:oddHBand="1" w:evenHBand="0" w:firstRowFirstColumn="0" w:firstRowLastColumn="0" w:lastRowFirstColumn="0" w:lastRowLastColumn="0"/>
              <w:rPr>
                <w:b/>
                <w:i/>
                <w:sz w:val="18"/>
                <w:szCs w:val="18"/>
              </w:rPr>
            </w:pPr>
            <w:r w:rsidRPr="00492635">
              <w:rPr>
                <w:b/>
                <w:i/>
                <w:sz w:val="18"/>
                <w:szCs w:val="18"/>
              </w:rPr>
              <w:t>59,5</w:t>
            </w:r>
          </w:p>
        </w:tc>
      </w:tr>
    </w:tbl>
    <w:p w:rsidR="00FA5AFD" w:rsidRDefault="00FA5AFD" w:rsidP="00F05E2C">
      <w:pPr>
        <w:pStyle w:val="Cuerpodelboletn"/>
        <w:rPr>
          <w:lang w:bidi="es-ES"/>
        </w:rPr>
      </w:pPr>
    </w:p>
    <w:p w:rsidR="00492635" w:rsidRDefault="00492635" w:rsidP="00492635">
      <w:pPr>
        <w:pStyle w:val="Cuerpodelboletn"/>
        <w:rPr>
          <w:lang w:bidi="es-ES"/>
        </w:rPr>
      </w:pPr>
      <w:r>
        <w:rPr>
          <w:lang w:bidi="es-ES"/>
        </w:rPr>
        <w:t>El Índice de Cumplimiento de la Información Obligatoria (ICIO) se sitúa en el 59,5%. La falta de publicación de contenidos obligatorios – no se publica el 32% de ellos -, el recurso a fuentes centralizadas para la publicación de diversas informaciones y las barreras a la accesibilidad que implica esta forma de publicación, y la falta de referencias a la fecha de la última revisión o actualización de la información publicada, son los dos factores que explican el nivel de cumplimiento alcanzado.</w:t>
      </w:r>
    </w:p>
    <w:p w:rsidR="00492635" w:rsidRDefault="00492635" w:rsidP="00492635">
      <w:pPr>
        <w:pStyle w:val="Cuerpodelboletn"/>
        <w:rPr>
          <w:lang w:bidi="es-ES"/>
        </w:rPr>
      </w:pPr>
      <w:r>
        <w:rPr>
          <w:lang w:bidi="es-ES"/>
        </w:rPr>
        <w:t>Respecto de 2020, el ICIO se ha incrementado en 5,5 puntos porcentuales, incremento atribuible exclusivamente a la revisión de oficio realizada por este Consejo del cumplimiento del atributo reutilización.</w:t>
      </w:r>
    </w:p>
    <w:p w:rsidR="00492635" w:rsidRDefault="00492635" w:rsidP="00492635">
      <w:pPr>
        <w:pStyle w:val="Cuerpodelboletn"/>
        <w:rPr>
          <w:lang w:bidi="es-ES"/>
        </w:rPr>
      </w:pPr>
    </w:p>
    <w:p w:rsidR="00C259F4" w:rsidRPr="002D27E4" w:rsidRDefault="00AD193E" w:rsidP="00492635">
      <w:pPr>
        <w:pStyle w:val="Cuerpodelboletn"/>
        <w:numPr>
          <w:ilvl w:val="0"/>
          <w:numId w:val="21"/>
        </w:numPr>
        <w:rPr>
          <w:sz w:val="30"/>
          <w:szCs w:val="30"/>
        </w:rPr>
      </w:pPr>
      <w:sdt>
        <w:sdtPr>
          <w:rPr>
            <w:b/>
            <w:color w:val="auto"/>
            <w:sz w:val="30"/>
            <w:szCs w:val="30"/>
          </w:rPr>
          <w:id w:val="-409474120"/>
          <w:placeholder>
            <w:docPart w:val="FD98A9A16E1C4E1DA3A066E830405301"/>
          </w:placeholder>
        </w:sdtPr>
        <w:sdtContent>
          <w:r w:rsidR="00C259F4" w:rsidRPr="002D27E4">
            <w:rPr>
              <w:b/>
              <w:color w:val="50866C"/>
              <w:sz w:val="30"/>
              <w:szCs w:val="30"/>
            </w:rPr>
            <w:t xml:space="preserve">Conclusiones </w:t>
          </w:r>
        </w:sdtContent>
      </w:sdt>
    </w:p>
    <w:p w:rsidR="00492635" w:rsidRDefault="00492635" w:rsidP="00492635">
      <w:pPr>
        <w:pStyle w:val="Cuerpodelboletn"/>
      </w:pPr>
      <w:r>
        <w:t>El cumplimiento de las obligaciones de publicidad activa por parte de la Ciudad Autónoma de Ceuta, ha permanecido estable, en tanto que no se han adoptado buena parte de las recomendaciones formuladas a consecuencia de la evaluación realizada en 2020.</w:t>
      </w:r>
    </w:p>
    <w:p w:rsidR="00C02D3B" w:rsidRDefault="00C02D3B" w:rsidP="00C02D3B">
      <w:pPr>
        <w:pStyle w:val="Cuerpodelboletn"/>
      </w:pPr>
      <w:r>
        <w:t xml:space="preserve">Como </w:t>
      </w:r>
      <w:r w:rsidR="007B2613">
        <w:t>consecuencia de esto persisten</w:t>
      </w:r>
      <w:r>
        <w:t xml:space="preserve"> déficits evidenciados en dicha evaluación: </w:t>
      </w:r>
    </w:p>
    <w:p w:rsidR="009A67FC" w:rsidRDefault="009A67FC" w:rsidP="00DA44D8">
      <w:pPr>
        <w:pStyle w:val="Prrafodelista"/>
        <w:numPr>
          <w:ilvl w:val="0"/>
          <w:numId w:val="18"/>
        </w:numPr>
        <w:jc w:val="both"/>
        <w:rPr>
          <w:color w:val="000000"/>
        </w:rPr>
      </w:pPr>
      <w:r w:rsidRPr="00DA44D8">
        <w:rPr>
          <w:color w:val="000000"/>
        </w:rPr>
        <w:t>La información no se estructura conforme al patrón definido por la LTAIBG</w:t>
      </w:r>
      <w:r w:rsidR="00DA44D8" w:rsidRPr="00DA44D8">
        <w:rPr>
          <w:color w:val="000000"/>
        </w:rPr>
        <w:t xml:space="preserve">, y no se ha modificado la denominación de las diferentes categorías y epígrafes, así como de sus textos introductorios, de modo que se correspondan </w:t>
      </w:r>
      <w:r w:rsidR="00DA44D8">
        <w:rPr>
          <w:color w:val="000000"/>
        </w:rPr>
        <w:t>con la estructura de la LTAIBG</w:t>
      </w:r>
    </w:p>
    <w:p w:rsidR="00DA44D8" w:rsidRDefault="00DA44D8" w:rsidP="00DA44D8">
      <w:pPr>
        <w:pStyle w:val="Prrafodelista"/>
        <w:ind w:left="780"/>
        <w:jc w:val="both"/>
        <w:rPr>
          <w:color w:val="000000"/>
        </w:rPr>
      </w:pPr>
    </w:p>
    <w:p w:rsidR="00DA44D8" w:rsidRDefault="00DA44D8" w:rsidP="00DA44D8">
      <w:pPr>
        <w:pStyle w:val="Prrafodelista"/>
        <w:numPr>
          <w:ilvl w:val="0"/>
          <w:numId w:val="18"/>
        </w:numPr>
        <w:jc w:val="both"/>
        <w:rPr>
          <w:color w:val="000000"/>
        </w:rPr>
      </w:pPr>
      <w:r>
        <w:rPr>
          <w:color w:val="000000"/>
        </w:rPr>
        <w:t>No se han reordenado los contenidos, de modo que se encuentren dentro de la correspondiente categoría de contenido de acuerdo con lo establecido en los artículos 6 y siguientes LTAIBG.</w:t>
      </w:r>
    </w:p>
    <w:p w:rsidR="00DA44D8" w:rsidRPr="00DA44D8" w:rsidRDefault="00DA44D8" w:rsidP="00DA44D8">
      <w:pPr>
        <w:pStyle w:val="Prrafodelista"/>
        <w:ind w:left="780"/>
        <w:jc w:val="both"/>
        <w:rPr>
          <w:color w:val="000000"/>
        </w:rPr>
      </w:pPr>
    </w:p>
    <w:p w:rsidR="00D71587" w:rsidRDefault="00AD439D" w:rsidP="00D71587">
      <w:pPr>
        <w:pStyle w:val="Prrafodelista"/>
        <w:numPr>
          <w:ilvl w:val="0"/>
          <w:numId w:val="18"/>
        </w:numPr>
        <w:jc w:val="both"/>
        <w:rPr>
          <w:color w:val="000000"/>
        </w:rPr>
      </w:pPr>
      <w:r>
        <w:rPr>
          <w:color w:val="000000"/>
        </w:rPr>
        <w:t>No se ha localizado</w:t>
      </w:r>
      <w:r w:rsidR="009F1E2C" w:rsidRPr="009F1E2C">
        <w:rPr>
          <w:color w:val="000000"/>
        </w:rPr>
        <w:t xml:space="preserve"> el organigrama de la </w:t>
      </w:r>
      <w:r w:rsidR="003B6CA2">
        <w:rPr>
          <w:color w:val="000000"/>
        </w:rPr>
        <w:t>Ciudad de Ceuta</w:t>
      </w:r>
      <w:r w:rsidR="009F1E2C" w:rsidRPr="009F1E2C">
        <w:rPr>
          <w:color w:val="000000"/>
        </w:rPr>
        <w:t>, entendido con la representación gráfica de la estructura organizativa de la Junta y de las relaciones entre los difere</w:t>
      </w:r>
      <w:r w:rsidR="00CA4C18">
        <w:rPr>
          <w:color w:val="000000"/>
        </w:rPr>
        <w:t xml:space="preserve">ntes niveles que la conforman. </w:t>
      </w:r>
    </w:p>
    <w:p w:rsidR="00DA44D8" w:rsidRPr="00DA44D8" w:rsidRDefault="00DA44D8" w:rsidP="00DA44D8">
      <w:pPr>
        <w:pStyle w:val="Prrafodelista"/>
        <w:rPr>
          <w:color w:val="000000"/>
        </w:rPr>
      </w:pPr>
    </w:p>
    <w:p w:rsidR="00CA4C18" w:rsidRDefault="00DA44D8" w:rsidP="00CA4C18">
      <w:pPr>
        <w:pStyle w:val="Prrafodelista"/>
        <w:numPr>
          <w:ilvl w:val="0"/>
          <w:numId w:val="18"/>
        </w:numPr>
        <w:jc w:val="both"/>
        <w:rPr>
          <w:color w:val="000000"/>
        </w:rPr>
      </w:pPr>
      <w:r w:rsidRPr="00DA44D8">
        <w:rPr>
          <w:color w:val="000000"/>
        </w:rPr>
        <w:t>No</w:t>
      </w:r>
      <w:r>
        <w:rPr>
          <w:color w:val="000000"/>
        </w:rPr>
        <w:t xml:space="preserve"> se definen las funciones del conjunto de la Administración de la Ciudad de Ceuta.</w:t>
      </w:r>
    </w:p>
    <w:p w:rsidR="00DA44D8" w:rsidRPr="00DA44D8" w:rsidRDefault="00DA44D8" w:rsidP="00DA44D8">
      <w:pPr>
        <w:pStyle w:val="Prrafodelista"/>
        <w:rPr>
          <w:color w:val="000000"/>
        </w:rPr>
      </w:pPr>
    </w:p>
    <w:p w:rsidR="00DA44D8" w:rsidRPr="00DA44D8" w:rsidRDefault="00DA44D8" w:rsidP="00DA44D8">
      <w:pPr>
        <w:pStyle w:val="Prrafodelista"/>
        <w:numPr>
          <w:ilvl w:val="0"/>
          <w:numId w:val="18"/>
        </w:numPr>
        <w:jc w:val="both"/>
        <w:rPr>
          <w:color w:val="000000"/>
        </w:rPr>
      </w:pPr>
      <w:r>
        <w:rPr>
          <w:color w:val="000000"/>
        </w:rPr>
        <w:t>No se publica el</w:t>
      </w:r>
      <w:r w:rsidRPr="00DA44D8">
        <w:rPr>
          <w:color w:val="000000"/>
        </w:rPr>
        <w:t xml:space="preserve"> perfil y trayectoria profesional de todos los responsables de órganos</w:t>
      </w:r>
      <w:r>
        <w:rPr>
          <w:color w:val="000000"/>
        </w:rPr>
        <w:t xml:space="preserve"> directivos de la Ciudad de Ceuta.</w:t>
      </w:r>
    </w:p>
    <w:p w:rsidR="00D71587" w:rsidRDefault="00D71587" w:rsidP="00D71587">
      <w:pPr>
        <w:pStyle w:val="Prrafodelista"/>
        <w:ind w:left="780"/>
        <w:jc w:val="both"/>
        <w:rPr>
          <w:color w:val="000000"/>
        </w:rPr>
      </w:pPr>
    </w:p>
    <w:p w:rsidR="00DA44D8" w:rsidRPr="009A67FC" w:rsidRDefault="00DA44D8" w:rsidP="00DA44D8">
      <w:pPr>
        <w:pStyle w:val="Prrafodelista"/>
        <w:numPr>
          <w:ilvl w:val="0"/>
          <w:numId w:val="18"/>
        </w:numPr>
        <w:jc w:val="both"/>
        <w:rPr>
          <w:color w:val="000000"/>
        </w:rPr>
      </w:pPr>
      <w:r>
        <w:rPr>
          <w:color w:val="000000"/>
        </w:rPr>
        <w:t>No se informa</w:t>
      </w:r>
      <w:r w:rsidRPr="00DA44D8">
        <w:rPr>
          <w:color w:val="000000"/>
        </w:rPr>
        <w:t xml:space="preserve"> sobre el grado de cumplimiento y resultados, e indicadores de medida y valoración de los planes que aparecen publicados</w:t>
      </w:r>
    </w:p>
    <w:p w:rsidR="009A67FC" w:rsidRPr="009A67FC" w:rsidRDefault="009A67FC" w:rsidP="009A67FC">
      <w:pPr>
        <w:pStyle w:val="Prrafodelista"/>
        <w:ind w:left="780"/>
        <w:jc w:val="both"/>
        <w:rPr>
          <w:color w:val="000000"/>
        </w:rPr>
      </w:pPr>
    </w:p>
    <w:p w:rsidR="009A67FC" w:rsidRDefault="009A67FC" w:rsidP="009A67FC">
      <w:pPr>
        <w:pStyle w:val="Prrafodelista"/>
        <w:numPr>
          <w:ilvl w:val="0"/>
          <w:numId w:val="18"/>
        </w:numPr>
        <w:jc w:val="both"/>
        <w:rPr>
          <w:color w:val="000000"/>
        </w:rPr>
      </w:pPr>
      <w:r w:rsidRPr="00CA4C18">
        <w:rPr>
          <w:color w:val="000000"/>
        </w:rPr>
        <w:t>No se ha localizado el inventario de actividades de tratamiento.</w:t>
      </w:r>
    </w:p>
    <w:p w:rsidR="00DA44D8" w:rsidRPr="00DA44D8" w:rsidRDefault="00DA44D8" w:rsidP="00DA44D8">
      <w:pPr>
        <w:pStyle w:val="Prrafodelista"/>
        <w:rPr>
          <w:color w:val="000000"/>
        </w:rPr>
      </w:pPr>
    </w:p>
    <w:p w:rsidR="00DA44D8" w:rsidRDefault="00DA44D8" w:rsidP="00DA44D8">
      <w:pPr>
        <w:pStyle w:val="Prrafodelista"/>
        <w:numPr>
          <w:ilvl w:val="0"/>
          <w:numId w:val="18"/>
        </w:numPr>
        <w:jc w:val="both"/>
        <w:rPr>
          <w:color w:val="000000"/>
        </w:rPr>
      </w:pPr>
      <w:r>
        <w:rPr>
          <w:color w:val="000000"/>
        </w:rPr>
        <w:t>No se i</w:t>
      </w:r>
      <w:r w:rsidRPr="00DA44D8">
        <w:rPr>
          <w:color w:val="000000"/>
        </w:rPr>
        <w:t xml:space="preserve">nforma </w:t>
      </w:r>
      <w:r>
        <w:rPr>
          <w:color w:val="000000"/>
        </w:rPr>
        <w:t>sobre</w:t>
      </w:r>
      <w:r w:rsidRPr="00DA44D8">
        <w:rPr>
          <w:color w:val="000000"/>
        </w:rPr>
        <w:t xml:space="preserve"> las directrices, instrucciones, acuerdos, circulares o respuestas a consultas planteadas por los particulares en la medida en que supongan una interpretación del Derecho o tengan efectos jurídicos</w:t>
      </w:r>
      <w:r>
        <w:rPr>
          <w:color w:val="000000"/>
        </w:rPr>
        <w:t>.</w:t>
      </w:r>
    </w:p>
    <w:p w:rsidR="00D03A9D" w:rsidRPr="00D03A9D" w:rsidRDefault="00D03A9D" w:rsidP="00D03A9D">
      <w:pPr>
        <w:pStyle w:val="Prrafodelista"/>
        <w:rPr>
          <w:color w:val="000000"/>
        </w:rPr>
      </w:pPr>
    </w:p>
    <w:p w:rsidR="00D03A9D" w:rsidRDefault="00D03A9D" w:rsidP="00DA44D8">
      <w:pPr>
        <w:pStyle w:val="Prrafodelista"/>
        <w:numPr>
          <w:ilvl w:val="0"/>
          <w:numId w:val="18"/>
        </w:numPr>
        <w:jc w:val="both"/>
        <w:rPr>
          <w:color w:val="000000"/>
        </w:rPr>
      </w:pPr>
      <w:r>
        <w:rPr>
          <w:color w:val="000000"/>
        </w:rPr>
        <w:t>No se informa sobre los proyectos de disposiciones reglamentarias cuya iniciativa corresponde a la Ciudad de Ceuta.</w:t>
      </w:r>
    </w:p>
    <w:p w:rsidR="00D71587" w:rsidRDefault="00D71587" w:rsidP="00D71587">
      <w:pPr>
        <w:pStyle w:val="Prrafodelista"/>
      </w:pPr>
    </w:p>
    <w:p w:rsidR="00D03A9D" w:rsidRDefault="00D71587" w:rsidP="00D03A9D">
      <w:pPr>
        <w:pStyle w:val="Prrafodelista"/>
        <w:numPr>
          <w:ilvl w:val="0"/>
          <w:numId w:val="18"/>
        </w:numPr>
        <w:jc w:val="both"/>
      </w:pPr>
      <w:r>
        <w:t xml:space="preserve">En cuanto a la información </w:t>
      </w:r>
      <w:r w:rsidR="00D03A9D">
        <w:t xml:space="preserve">sobre Contratación, a pesar de establecerse un acceso denominado Perfil del Contratante de la Ciudad Autónoma de Ceuta, no se accede a la </w:t>
      </w:r>
      <w:proofErr w:type="spellStart"/>
      <w:r w:rsidR="00D03A9D">
        <w:t>Plaraforma</w:t>
      </w:r>
      <w:proofErr w:type="spellEnd"/>
      <w:r w:rsidR="00D03A9D">
        <w:t xml:space="preserve"> de Contratación del Sector Público, sino que se da acceso al apartado de contratación pública contenido en la web ceuta.es, en la que se incluye un buscador de anuncios. No obstante, si se utiliza el mismo no se puede obtener el conjunto de información exigido por el artículo 8.a LTAIBG, que se refiere a “</w:t>
      </w:r>
      <w:r w:rsidR="00D03A9D" w:rsidRPr="00D03A9D">
        <w:t>Todos los contratos, 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modificaciones del contrato. Igualmente serán objeto de publicación las decisiones de desistimiento y renuncia de los contratos. La publicación de la información relativa a los contratos menores podrá realizarse trimestralmente</w:t>
      </w:r>
      <w:r w:rsidR="00D03A9D">
        <w:t>”.</w:t>
      </w:r>
    </w:p>
    <w:p w:rsidR="00D12B6E" w:rsidRDefault="00D12B6E" w:rsidP="00D12B6E">
      <w:pPr>
        <w:pStyle w:val="Prrafodelista"/>
      </w:pPr>
    </w:p>
    <w:p w:rsidR="00D12B6E" w:rsidRDefault="00807DDF" w:rsidP="00D12B6E">
      <w:pPr>
        <w:pStyle w:val="Prrafodelista"/>
        <w:numPr>
          <w:ilvl w:val="0"/>
          <w:numId w:val="18"/>
        </w:numPr>
        <w:jc w:val="both"/>
      </w:pPr>
      <w:r>
        <w:t>No se localiza la información correspondiente</w:t>
      </w:r>
      <w:r w:rsidR="00D12B6E">
        <w:t xml:space="preserve"> a los contratos menores</w:t>
      </w:r>
      <w:r w:rsidR="0021181D">
        <w:t>.</w:t>
      </w:r>
    </w:p>
    <w:p w:rsidR="0021181D" w:rsidRDefault="0021181D" w:rsidP="0021181D">
      <w:pPr>
        <w:pStyle w:val="Prrafodelista"/>
      </w:pPr>
    </w:p>
    <w:p w:rsidR="00D03A9D" w:rsidRDefault="0021181D" w:rsidP="00D03A9D">
      <w:pPr>
        <w:pStyle w:val="Prrafodelista"/>
        <w:numPr>
          <w:ilvl w:val="0"/>
          <w:numId w:val="18"/>
        </w:numPr>
        <w:jc w:val="both"/>
      </w:pPr>
      <w:r>
        <w:t>No se ha localizado</w:t>
      </w:r>
      <w:r w:rsidRPr="0021181D">
        <w:t xml:space="preserve"> información estadística sobre el porcentaje en volumen presupuestario de contratos adjudicados a través de cada uno de los procedimientos previstos</w:t>
      </w:r>
    </w:p>
    <w:p w:rsidR="0021181D" w:rsidRDefault="0021181D" w:rsidP="0021181D">
      <w:pPr>
        <w:pStyle w:val="Prrafodelista"/>
      </w:pPr>
    </w:p>
    <w:p w:rsidR="0021181D" w:rsidRDefault="0021181D" w:rsidP="0021181D">
      <w:pPr>
        <w:pStyle w:val="Prrafodelista"/>
        <w:numPr>
          <w:ilvl w:val="0"/>
          <w:numId w:val="18"/>
        </w:numPr>
        <w:jc w:val="both"/>
      </w:pPr>
      <w:r>
        <w:t xml:space="preserve">No se ha localizado información </w:t>
      </w:r>
      <w:r w:rsidRPr="0021181D">
        <w:t>sobre la relación de los convenios suscritos, con mención de las partes firmantes, su objeto, plazo de duración, modificaciones realizadas, obligados a la realización de las prestaciones y, en su caso, las obligaciones económicas convenidas. Si no existiese ninguno, debería hacerse constar tal circunstancia.</w:t>
      </w:r>
    </w:p>
    <w:p w:rsidR="00160944" w:rsidRDefault="00160944" w:rsidP="00160944">
      <w:pPr>
        <w:pStyle w:val="Prrafodelista"/>
      </w:pPr>
    </w:p>
    <w:p w:rsidR="00160944" w:rsidRDefault="00160944" w:rsidP="0021181D">
      <w:pPr>
        <w:pStyle w:val="Prrafodelista"/>
        <w:numPr>
          <w:ilvl w:val="0"/>
          <w:numId w:val="18"/>
        </w:numPr>
        <w:jc w:val="both"/>
      </w:pPr>
      <w:r>
        <w:t>No se ha localizado información sobre las cuentas anuales</w:t>
      </w:r>
    </w:p>
    <w:p w:rsidR="00D70E63" w:rsidRDefault="00D70E63" w:rsidP="00D70E63">
      <w:pPr>
        <w:pStyle w:val="Prrafodelista"/>
      </w:pPr>
    </w:p>
    <w:p w:rsidR="00D70E63" w:rsidRDefault="00D70E63" w:rsidP="00160944">
      <w:pPr>
        <w:pStyle w:val="Prrafodelista"/>
        <w:numPr>
          <w:ilvl w:val="0"/>
          <w:numId w:val="18"/>
        </w:numPr>
        <w:jc w:val="both"/>
      </w:pPr>
      <w:r w:rsidRPr="00D70E63">
        <w:t xml:space="preserve">No se han actualizado los datos sobre los informes del Tribunal de Cuentas disponibles, siendo el último incorporado el correspondiente al año 2016, cuando ya en el informe de </w:t>
      </w:r>
      <w:r w:rsidRPr="00D70E63">
        <w:lastRenderedPageBreak/>
        <w:t>evaluación de 2020 se constató la existencia del informe del Tribunal de Cuentas del año 2017.</w:t>
      </w:r>
    </w:p>
    <w:p w:rsidR="00925BF3" w:rsidRDefault="00160944" w:rsidP="00925BF3">
      <w:pPr>
        <w:pStyle w:val="Prrafodelista"/>
      </w:pPr>
      <w:r w:rsidRPr="00160944">
        <mc:AlternateContent>
          <mc:Choice Requires="wps">
            <w:drawing>
              <wp:anchor distT="0" distB="0" distL="114300" distR="114300" simplePos="0" relativeHeight="251727872" behindDoc="0" locked="0" layoutInCell="1" allowOverlap="1" wp14:anchorId="4ED13185" wp14:editId="4A658B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160944">
        <mc:AlternateContent>
          <mc:Choice Requires="wps">
            <w:drawing>
              <wp:anchor distT="0" distB="0" distL="114300" distR="114300" simplePos="0" relativeHeight="251726848" behindDoc="0" locked="0" layoutInCell="1" allowOverlap="1" wp14:anchorId="2573D976" wp14:editId="686A3DC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60944" w:rsidRPr="00F31BC3" w:rsidRDefault="00160944" w:rsidP="00160944">
                            <w:r w:rsidRPr="00965C69">
                              <w:rPr>
                                <w:noProof/>
                                <w:lang w:eastAsia="es-ES"/>
                              </w:rPr>
                              <w:drawing>
                                <wp:inline distT="0" distB="0" distL="0" distR="0" wp14:anchorId="7AB855C1" wp14:editId="0CBEBAB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160944" w:rsidRPr="00F31BC3" w:rsidRDefault="00160944" w:rsidP="00160944">
                      <w:r w:rsidRPr="00965C69">
                        <w:rPr>
                          <w:noProof/>
                          <w:lang w:eastAsia="es-ES"/>
                        </w:rPr>
                        <w:drawing>
                          <wp:inline distT="0" distB="0" distL="0" distR="0" wp14:anchorId="7AB855C1" wp14:editId="0CBEBAB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925BF3" w:rsidRDefault="00D70E63" w:rsidP="00925BF3">
      <w:pPr>
        <w:pStyle w:val="Prrafodelista"/>
        <w:numPr>
          <w:ilvl w:val="0"/>
          <w:numId w:val="18"/>
        </w:numPr>
        <w:jc w:val="both"/>
      </w:pPr>
      <w:r>
        <w:t>Tampoco se informa sobre</w:t>
      </w:r>
      <w:r w:rsidR="00925BF3">
        <w:t xml:space="preserve"> las resoluciones que autoricen el ejercicio de actividad privada con motivo del cese de los altos cargos de la Ciudad Autónoma de Ceuta.</w:t>
      </w:r>
    </w:p>
    <w:p w:rsidR="00160944" w:rsidRDefault="00160944" w:rsidP="00160944">
      <w:pPr>
        <w:pStyle w:val="Prrafodelista"/>
      </w:pPr>
      <w:bookmarkStart w:id="0" w:name="_GoBack"/>
      <w:bookmarkEnd w:id="0"/>
    </w:p>
    <w:p w:rsidR="00925BF3" w:rsidRDefault="00D70E63" w:rsidP="00925BF3">
      <w:pPr>
        <w:pStyle w:val="Prrafodelista"/>
        <w:numPr>
          <w:ilvl w:val="0"/>
          <w:numId w:val="18"/>
        </w:numPr>
        <w:jc w:val="both"/>
      </w:pPr>
      <w:r>
        <w:t>No se publica</w:t>
      </w:r>
      <w:r w:rsidR="00925BF3">
        <w:t xml:space="preserve"> información estadística para valorar el grado de cumplimiento y calidad de los servicios públicos que sean de su competencia.</w:t>
      </w:r>
    </w:p>
    <w:p w:rsidR="00925BF3" w:rsidRDefault="00925BF3" w:rsidP="00925BF3">
      <w:pPr>
        <w:pStyle w:val="Prrafodelista"/>
        <w:ind w:left="780"/>
        <w:jc w:val="both"/>
      </w:pPr>
    </w:p>
    <w:p w:rsidR="00925BF3" w:rsidRDefault="00925BF3" w:rsidP="00925BF3">
      <w:pPr>
        <w:pStyle w:val="Prrafodelista"/>
        <w:numPr>
          <w:ilvl w:val="0"/>
          <w:numId w:val="18"/>
        </w:numPr>
        <w:jc w:val="both"/>
      </w:pPr>
      <w:r>
        <w:t>Debe publicarse la relación de bienes inmuebles propiedad de la Ciudad Autónoma de Ceuta o sobre las que ostente algún derecho real.</w:t>
      </w:r>
    </w:p>
    <w:p w:rsidR="00247F0C" w:rsidRDefault="00247F0C" w:rsidP="00247F0C">
      <w:pPr>
        <w:pStyle w:val="Prrafodelista"/>
      </w:pPr>
    </w:p>
    <w:p w:rsidR="00247F0C" w:rsidRPr="00247F0C" w:rsidRDefault="00247F0C" w:rsidP="00247F0C">
      <w:pPr>
        <w:pStyle w:val="Prrafodelista"/>
        <w:numPr>
          <w:ilvl w:val="0"/>
          <w:numId w:val="18"/>
        </w:numPr>
        <w:jc w:val="both"/>
      </w:pPr>
      <w:r w:rsidRPr="00247F0C">
        <w:t xml:space="preserve">Debe de revisarse la accesibilidad a la información, evitando en lo posible reenvíos, accesos y enlaces innecesarios (por ejemplo, eliminado uno de los “clic”: el paso “mostrar toda la información” tras acceder a la categoría concreta de información). </w:t>
      </w:r>
    </w:p>
    <w:p w:rsidR="009A67FC" w:rsidRDefault="009A67FC" w:rsidP="009A67FC">
      <w:pPr>
        <w:pStyle w:val="Prrafodelista"/>
      </w:pPr>
    </w:p>
    <w:p w:rsidR="009A67FC" w:rsidRDefault="009A67FC" w:rsidP="009A67FC">
      <w:pPr>
        <w:pStyle w:val="Prrafodelista"/>
        <w:numPr>
          <w:ilvl w:val="0"/>
          <w:numId w:val="18"/>
        </w:numPr>
        <w:jc w:val="both"/>
      </w:pPr>
      <w:r>
        <w:t xml:space="preserve">Debería publicarse en el Portal de Transparencia </w:t>
      </w:r>
      <w:r w:rsidR="00925BF3">
        <w:t xml:space="preserve">las correspondientes referencias </w:t>
      </w:r>
      <w:r>
        <w:t xml:space="preserve">a </w:t>
      </w:r>
      <w:r w:rsidR="00925BF3">
        <w:t xml:space="preserve">la </w:t>
      </w:r>
      <w:r>
        <w:t xml:space="preserve">última fecha en que se revisó o actualizó </w:t>
      </w:r>
      <w:r w:rsidR="00925BF3">
        <w:t xml:space="preserve">cada </w:t>
      </w:r>
      <w:r>
        <w:t xml:space="preserve">información. Solo de esta manera sería posible para la ciudadanía saber si la información que está consultando está vigente. </w:t>
      </w:r>
    </w:p>
    <w:p w:rsidR="009A67FC" w:rsidRDefault="009A67FC" w:rsidP="009A67FC">
      <w:pPr>
        <w:pStyle w:val="Prrafodelista"/>
      </w:pPr>
    </w:p>
    <w:p w:rsidR="009A67FC" w:rsidRDefault="009A67FC" w:rsidP="009A67FC">
      <w:pPr>
        <w:pStyle w:val="Prrafodelista"/>
        <w:ind w:left="780"/>
        <w:jc w:val="both"/>
      </w:pPr>
      <w:r>
        <w:t>Asimismo, si no hubiese información reseñable, debería hacerse constar tal circunstancia.</w:t>
      </w:r>
    </w:p>
    <w:p w:rsidR="00247F0C" w:rsidRDefault="00247F0C" w:rsidP="009A67FC">
      <w:pPr>
        <w:pStyle w:val="Prrafodelista"/>
        <w:ind w:left="780"/>
        <w:jc w:val="both"/>
      </w:pPr>
    </w:p>
    <w:p w:rsidR="00247F0C" w:rsidRDefault="00247F0C" w:rsidP="00247F0C">
      <w:pPr>
        <w:pStyle w:val="Prrafodelista"/>
        <w:ind w:left="780"/>
        <w:jc w:val="both"/>
      </w:pPr>
    </w:p>
    <w:p w:rsidR="00247F0C" w:rsidRDefault="00247F0C" w:rsidP="00247F0C">
      <w:pPr>
        <w:pStyle w:val="Prrafodelista"/>
      </w:pPr>
    </w:p>
    <w:p w:rsidR="00C02D3B" w:rsidRDefault="00C02D3B" w:rsidP="00C02D3B">
      <w:pPr>
        <w:pStyle w:val="Cuerpodelboletn"/>
      </w:pPr>
    </w:p>
    <w:p w:rsidR="00C02D3B" w:rsidRDefault="00C02D3B" w:rsidP="00CC60B0">
      <w:pPr>
        <w:pStyle w:val="Cuerpodelboletn"/>
        <w:jc w:val="right"/>
      </w:pPr>
      <w:r>
        <w:t xml:space="preserve">Madrid, </w:t>
      </w:r>
      <w:r w:rsidR="00BF0241">
        <w:t>octubre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0E63" w:rsidRPr="00F31BC3" w:rsidRDefault="00D70E6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D70E63" w:rsidRPr="00F31BC3" w:rsidRDefault="00D70E6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0E63" w:rsidRPr="00F31BC3" w:rsidRDefault="00D70E6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D70E63" w:rsidRPr="00F31BC3" w:rsidRDefault="00D70E6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63" w:rsidRDefault="00D70E63" w:rsidP="00F31BC3">
      <w:r>
        <w:separator/>
      </w:r>
    </w:p>
  </w:endnote>
  <w:endnote w:type="continuationSeparator" w:id="0">
    <w:p w:rsidR="00D70E63" w:rsidRDefault="00D70E6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63" w:rsidRDefault="00D70E63" w:rsidP="00F31BC3">
      <w:r>
        <w:separator/>
      </w:r>
    </w:p>
  </w:footnote>
  <w:footnote w:type="continuationSeparator" w:id="0">
    <w:p w:rsidR="00D70E63" w:rsidRDefault="00D70E63"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5369"/>
    <w:rsid w:val="00052BB4"/>
    <w:rsid w:val="00053A0E"/>
    <w:rsid w:val="0005642F"/>
    <w:rsid w:val="00072B7E"/>
    <w:rsid w:val="000775A5"/>
    <w:rsid w:val="000A77F5"/>
    <w:rsid w:val="000D3907"/>
    <w:rsid w:val="000D5417"/>
    <w:rsid w:val="000E0A9E"/>
    <w:rsid w:val="000E5A95"/>
    <w:rsid w:val="00104DE9"/>
    <w:rsid w:val="00104E94"/>
    <w:rsid w:val="001149B1"/>
    <w:rsid w:val="00132732"/>
    <w:rsid w:val="00137166"/>
    <w:rsid w:val="00146C3C"/>
    <w:rsid w:val="00160944"/>
    <w:rsid w:val="00164876"/>
    <w:rsid w:val="001763F8"/>
    <w:rsid w:val="00183301"/>
    <w:rsid w:val="00187CDD"/>
    <w:rsid w:val="0019448F"/>
    <w:rsid w:val="001A0DA8"/>
    <w:rsid w:val="001A4E12"/>
    <w:rsid w:val="001A5305"/>
    <w:rsid w:val="001C3E2F"/>
    <w:rsid w:val="001C4509"/>
    <w:rsid w:val="001C7C78"/>
    <w:rsid w:val="001C7D84"/>
    <w:rsid w:val="001E5AAD"/>
    <w:rsid w:val="0021181D"/>
    <w:rsid w:val="0021682B"/>
    <w:rsid w:val="00231D61"/>
    <w:rsid w:val="00243294"/>
    <w:rsid w:val="00244EDA"/>
    <w:rsid w:val="002451AF"/>
    <w:rsid w:val="002467FA"/>
    <w:rsid w:val="00247F0C"/>
    <w:rsid w:val="00263F79"/>
    <w:rsid w:val="00271F20"/>
    <w:rsid w:val="002D0702"/>
    <w:rsid w:val="002D27E4"/>
    <w:rsid w:val="002E409F"/>
    <w:rsid w:val="0031769F"/>
    <w:rsid w:val="00347877"/>
    <w:rsid w:val="00355DC0"/>
    <w:rsid w:val="003A1694"/>
    <w:rsid w:val="003A390C"/>
    <w:rsid w:val="003B57E6"/>
    <w:rsid w:val="003B6B96"/>
    <w:rsid w:val="003B6CA2"/>
    <w:rsid w:val="003D2A34"/>
    <w:rsid w:val="003D2C4A"/>
    <w:rsid w:val="003E305F"/>
    <w:rsid w:val="003E564B"/>
    <w:rsid w:val="003E5D2F"/>
    <w:rsid w:val="003F6EDC"/>
    <w:rsid w:val="00405BF4"/>
    <w:rsid w:val="00415DBD"/>
    <w:rsid w:val="00420A46"/>
    <w:rsid w:val="00422B18"/>
    <w:rsid w:val="0044623D"/>
    <w:rsid w:val="004720A5"/>
    <w:rsid w:val="0047735C"/>
    <w:rsid w:val="004859CC"/>
    <w:rsid w:val="00492635"/>
    <w:rsid w:val="00493C09"/>
    <w:rsid w:val="004A1663"/>
    <w:rsid w:val="004C1593"/>
    <w:rsid w:val="004C6440"/>
    <w:rsid w:val="004D50CC"/>
    <w:rsid w:val="004D7037"/>
    <w:rsid w:val="004E0083"/>
    <w:rsid w:val="004E7B33"/>
    <w:rsid w:val="00506864"/>
    <w:rsid w:val="005301DF"/>
    <w:rsid w:val="00536832"/>
    <w:rsid w:val="00563295"/>
    <w:rsid w:val="005B1544"/>
    <w:rsid w:val="005C4778"/>
    <w:rsid w:val="005E2505"/>
    <w:rsid w:val="005E6704"/>
    <w:rsid w:val="00603DFC"/>
    <w:rsid w:val="006241AE"/>
    <w:rsid w:val="00633EAA"/>
    <w:rsid w:val="00641C15"/>
    <w:rsid w:val="00661964"/>
    <w:rsid w:val="00685B59"/>
    <w:rsid w:val="0069673B"/>
    <w:rsid w:val="006B75D8"/>
    <w:rsid w:val="006C0CDD"/>
    <w:rsid w:val="006D49E7"/>
    <w:rsid w:val="006D4C90"/>
    <w:rsid w:val="006E75DE"/>
    <w:rsid w:val="007071A8"/>
    <w:rsid w:val="00707C14"/>
    <w:rsid w:val="00711FAD"/>
    <w:rsid w:val="00714C54"/>
    <w:rsid w:val="00717272"/>
    <w:rsid w:val="0073626B"/>
    <w:rsid w:val="007407C6"/>
    <w:rsid w:val="00751FAA"/>
    <w:rsid w:val="00760E4B"/>
    <w:rsid w:val="0076640C"/>
    <w:rsid w:val="00767C60"/>
    <w:rsid w:val="00777FB3"/>
    <w:rsid w:val="00781700"/>
    <w:rsid w:val="00783202"/>
    <w:rsid w:val="00790143"/>
    <w:rsid w:val="007942B7"/>
    <w:rsid w:val="007954A6"/>
    <w:rsid w:val="007B2613"/>
    <w:rsid w:val="007C58D1"/>
    <w:rsid w:val="007D1701"/>
    <w:rsid w:val="007D5CBF"/>
    <w:rsid w:val="007D69D9"/>
    <w:rsid w:val="007F1D56"/>
    <w:rsid w:val="007F5F9D"/>
    <w:rsid w:val="00803D20"/>
    <w:rsid w:val="00807495"/>
    <w:rsid w:val="00807DDF"/>
    <w:rsid w:val="00821526"/>
    <w:rsid w:val="0082470D"/>
    <w:rsid w:val="00825ACB"/>
    <w:rsid w:val="008416B8"/>
    <w:rsid w:val="00876480"/>
    <w:rsid w:val="00882A5B"/>
    <w:rsid w:val="00891E6F"/>
    <w:rsid w:val="00894358"/>
    <w:rsid w:val="0089455A"/>
    <w:rsid w:val="00897D04"/>
    <w:rsid w:val="008A5AAE"/>
    <w:rsid w:val="008D3BDC"/>
    <w:rsid w:val="00902A71"/>
    <w:rsid w:val="009039FD"/>
    <w:rsid w:val="00903FE0"/>
    <w:rsid w:val="00912DB4"/>
    <w:rsid w:val="009139A7"/>
    <w:rsid w:val="00925709"/>
    <w:rsid w:val="00925BF3"/>
    <w:rsid w:val="009654DA"/>
    <w:rsid w:val="00965C69"/>
    <w:rsid w:val="00972910"/>
    <w:rsid w:val="00982299"/>
    <w:rsid w:val="009A03A4"/>
    <w:rsid w:val="009A67FC"/>
    <w:rsid w:val="009B75CD"/>
    <w:rsid w:val="009C5469"/>
    <w:rsid w:val="009D35A4"/>
    <w:rsid w:val="009D3CC3"/>
    <w:rsid w:val="009D4047"/>
    <w:rsid w:val="009D78D2"/>
    <w:rsid w:val="009E049D"/>
    <w:rsid w:val="009E2E6F"/>
    <w:rsid w:val="009E7254"/>
    <w:rsid w:val="009F1E2C"/>
    <w:rsid w:val="00A03993"/>
    <w:rsid w:val="00A0626F"/>
    <w:rsid w:val="00A1361E"/>
    <w:rsid w:val="00A24E51"/>
    <w:rsid w:val="00A51AAD"/>
    <w:rsid w:val="00A82709"/>
    <w:rsid w:val="00AA0AE1"/>
    <w:rsid w:val="00AC2723"/>
    <w:rsid w:val="00AC4A48"/>
    <w:rsid w:val="00AC4A6F"/>
    <w:rsid w:val="00AC65BC"/>
    <w:rsid w:val="00AD193E"/>
    <w:rsid w:val="00AD439D"/>
    <w:rsid w:val="00AD4F86"/>
    <w:rsid w:val="00AD6065"/>
    <w:rsid w:val="00AE4F68"/>
    <w:rsid w:val="00AE6A4F"/>
    <w:rsid w:val="00AF5151"/>
    <w:rsid w:val="00B1184C"/>
    <w:rsid w:val="00B220EC"/>
    <w:rsid w:val="00B33A2F"/>
    <w:rsid w:val="00B5314A"/>
    <w:rsid w:val="00B56A3A"/>
    <w:rsid w:val="00B77C12"/>
    <w:rsid w:val="00B853D9"/>
    <w:rsid w:val="00B85EA1"/>
    <w:rsid w:val="00B87734"/>
    <w:rsid w:val="00BA03C4"/>
    <w:rsid w:val="00BA14E6"/>
    <w:rsid w:val="00BA3611"/>
    <w:rsid w:val="00BC61D1"/>
    <w:rsid w:val="00BD18E4"/>
    <w:rsid w:val="00BD1E44"/>
    <w:rsid w:val="00BD2172"/>
    <w:rsid w:val="00BD2842"/>
    <w:rsid w:val="00BF0241"/>
    <w:rsid w:val="00BF0E16"/>
    <w:rsid w:val="00C02953"/>
    <w:rsid w:val="00C02D3B"/>
    <w:rsid w:val="00C1290B"/>
    <w:rsid w:val="00C213EC"/>
    <w:rsid w:val="00C24010"/>
    <w:rsid w:val="00C259F4"/>
    <w:rsid w:val="00C27705"/>
    <w:rsid w:val="00C3228C"/>
    <w:rsid w:val="00C4050E"/>
    <w:rsid w:val="00C41A3F"/>
    <w:rsid w:val="00C4430D"/>
    <w:rsid w:val="00C451D3"/>
    <w:rsid w:val="00C54D21"/>
    <w:rsid w:val="00C555C6"/>
    <w:rsid w:val="00C61119"/>
    <w:rsid w:val="00C61E7F"/>
    <w:rsid w:val="00C66E73"/>
    <w:rsid w:val="00C91330"/>
    <w:rsid w:val="00CA4C18"/>
    <w:rsid w:val="00CC48E8"/>
    <w:rsid w:val="00CC60B0"/>
    <w:rsid w:val="00CD3DE8"/>
    <w:rsid w:val="00CE489F"/>
    <w:rsid w:val="00CF17EF"/>
    <w:rsid w:val="00CF21EB"/>
    <w:rsid w:val="00D014E1"/>
    <w:rsid w:val="00D01CA1"/>
    <w:rsid w:val="00D03A9D"/>
    <w:rsid w:val="00D12B6E"/>
    <w:rsid w:val="00D1453D"/>
    <w:rsid w:val="00D41F4C"/>
    <w:rsid w:val="00D520C8"/>
    <w:rsid w:val="00D70570"/>
    <w:rsid w:val="00D70E63"/>
    <w:rsid w:val="00D71587"/>
    <w:rsid w:val="00D87529"/>
    <w:rsid w:val="00D96084"/>
    <w:rsid w:val="00DA44D8"/>
    <w:rsid w:val="00DA6660"/>
    <w:rsid w:val="00DC0AAC"/>
    <w:rsid w:val="00DC5B52"/>
    <w:rsid w:val="00DD515F"/>
    <w:rsid w:val="00DF25D7"/>
    <w:rsid w:val="00DF50DC"/>
    <w:rsid w:val="00DF555F"/>
    <w:rsid w:val="00E023B5"/>
    <w:rsid w:val="00E02FE5"/>
    <w:rsid w:val="00E133E0"/>
    <w:rsid w:val="00E17DF6"/>
    <w:rsid w:val="00E33169"/>
    <w:rsid w:val="00E51AC4"/>
    <w:rsid w:val="00E6528C"/>
    <w:rsid w:val="00E73F4D"/>
    <w:rsid w:val="00E77D81"/>
    <w:rsid w:val="00E810E7"/>
    <w:rsid w:val="00EC3D6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66C49"/>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9263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9263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59">
      <w:bodyDiv w:val="1"/>
      <w:marLeft w:val="0"/>
      <w:marRight w:val="0"/>
      <w:marTop w:val="0"/>
      <w:marBottom w:val="0"/>
      <w:divBdr>
        <w:top w:val="none" w:sz="0" w:space="0" w:color="auto"/>
        <w:left w:val="none" w:sz="0" w:space="0" w:color="auto"/>
        <w:bottom w:val="none" w:sz="0" w:space="0" w:color="auto"/>
        <w:right w:val="none" w:sz="0" w:space="0" w:color="auto"/>
      </w:divBdr>
      <w:divsChild>
        <w:div w:id="1552183009">
          <w:marLeft w:val="0"/>
          <w:marRight w:val="0"/>
          <w:marTop w:val="0"/>
          <w:marBottom w:val="0"/>
          <w:divBdr>
            <w:top w:val="none" w:sz="0" w:space="0" w:color="auto"/>
            <w:left w:val="none" w:sz="0" w:space="0" w:color="auto"/>
            <w:bottom w:val="none" w:sz="0" w:space="0" w:color="auto"/>
            <w:right w:val="none" w:sz="0" w:space="0" w:color="auto"/>
          </w:divBdr>
        </w:div>
        <w:div w:id="1765371275">
          <w:marLeft w:val="0"/>
          <w:marRight w:val="0"/>
          <w:marTop w:val="0"/>
          <w:marBottom w:val="0"/>
          <w:divBdr>
            <w:top w:val="none" w:sz="0" w:space="0" w:color="auto"/>
            <w:left w:val="none" w:sz="0" w:space="0" w:color="auto"/>
            <w:bottom w:val="none" w:sz="0" w:space="0" w:color="auto"/>
            <w:right w:val="none" w:sz="0" w:space="0" w:color="auto"/>
          </w:divBdr>
        </w:div>
      </w:divsChild>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53641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29F1"/>
    <w:rsid w:val="0049353B"/>
    <w:rsid w:val="00583D19"/>
    <w:rsid w:val="005E1775"/>
    <w:rsid w:val="006674FD"/>
    <w:rsid w:val="00787EBD"/>
    <w:rsid w:val="00837882"/>
    <w:rsid w:val="0084656B"/>
    <w:rsid w:val="00861D94"/>
    <w:rsid w:val="008E118A"/>
    <w:rsid w:val="00AB484A"/>
    <w:rsid w:val="00C32372"/>
    <w:rsid w:val="00D30955"/>
    <w:rsid w:val="00DE3DE6"/>
    <w:rsid w:val="00E34F40"/>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62A40430-F448-46CD-8356-2343EBB0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1292</TotalTime>
  <Pages>6</Pages>
  <Words>1691</Words>
  <Characters>9304</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32</cp:revision>
  <cp:lastPrinted>2008-09-26T23:14:00Z</cp:lastPrinted>
  <dcterms:created xsi:type="dcterms:W3CDTF">2021-10-06T10:43:00Z</dcterms:created>
  <dcterms:modified xsi:type="dcterms:W3CDTF">2021-11-30T09:57:00Z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