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6D339B" w:rsidRDefault="006D339B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la Comunidad Autónoma de Cantabri</w:t>
                                </w:r>
                                <w:r w:rsidRPr="00BB252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6D339B" w:rsidRDefault="006D339B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 Comunidad Autónoma de Cantabri</w:t>
                          </w:r>
                          <w:r w:rsidRPr="00BB252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339B" w:rsidRDefault="006D339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6D339B" w:rsidRDefault="006D339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E73840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lastRenderedPageBreak/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</w:tcPr>
          <w:p w:rsidR="00183301" w:rsidRDefault="00183301" w:rsidP="00AC4A6F">
            <w:pPr>
              <w:rPr>
                <w:sz w:val="20"/>
                <w:szCs w:val="20"/>
              </w:rPr>
            </w:pPr>
          </w:p>
          <w:p w:rsidR="00CD5302" w:rsidRPr="007942B7" w:rsidRDefault="00CD530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Localización y estructuración de la información </w:t>
            </w:r>
          </w:p>
        </w:tc>
        <w:tc>
          <w:tcPr>
            <w:tcW w:w="4819" w:type="dxa"/>
          </w:tcPr>
          <w:p w:rsidR="00183301" w:rsidRPr="007942B7" w:rsidRDefault="00183301" w:rsidP="00CD530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  <w:r w:rsidR="00CD5302">
              <w:rPr>
                <w:sz w:val="20"/>
                <w:szCs w:val="20"/>
              </w:rPr>
              <w:t xml:space="preserve"> o Ley 1/2018, de 21 de marzo, de Transparencia de la Actividad Pública (LTAP)</w:t>
            </w:r>
          </w:p>
        </w:tc>
        <w:tc>
          <w:tcPr>
            <w:tcW w:w="567" w:type="dxa"/>
            <w:vAlign w:val="center"/>
          </w:tcPr>
          <w:p w:rsidR="00183301" w:rsidRPr="007942B7" w:rsidRDefault="00CD5302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CD5302" w:rsidP="000B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portal se estructura de acuerdo con el patrón de la LTAP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6166B4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EF7B14" w:rsidP="00AE00AB">
            <w:pPr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6D4C90" w:rsidRPr="007942B7" w:rsidTr="00183301">
        <w:tc>
          <w:tcPr>
            <w:tcW w:w="2093" w:type="dxa"/>
            <w:vMerge w:val="restart"/>
            <w:vAlign w:val="center"/>
          </w:tcPr>
          <w:p w:rsidR="006D4C90" w:rsidRPr="00C3228C" w:rsidRDefault="006D4C90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6D4C90" w:rsidRDefault="00333C82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 de cumplimiento y resultados de planes y programas</w:t>
            </w:r>
          </w:p>
        </w:tc>
        <w:tc>
          <w:tcPr>
            <w:tcW w:w="567" w:type="dxa"/>
            <w:vAlign w:val="center"/>
          </w:tcPr>
          <w:p w:rsidR="006D4C90" w:rsidRDefault="00333C82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E73840" w:rsidP="00E73840">
            <w:pPr>
              <w:rPr>
                <w:sz w:val="20"/>
                <w:szCs w:val="20"/>
              </w:rPr>
            </w:pPr>
            <w:r w:rsidRPr="00E73840">
              <w:rPr>
                <w:sz w:val="20"/>
                <w:szCs w:val="20"/>
              </w:rPr>
              <w:t xml:space="preserve">Aunque </w:t>
            </w:r>
            <w:r>
              <w:rPr>
                <w:sz w:val="20"/>
                <w:szCs w:val="20"/>
              </w:rPr>
              <w:t>s</w:t>
            </w:r>
            <w:r w:rsidR="006166B4">
              <w:rPr>
                <w:sz w:val="20"/>
                <w:szCs w:val="20"/>
              </w:rPr>
              <w:t xml:space="preserve">e recoge en el apartado </w:t>
            </w:r>
            <w:r w:rsidR="006166B4" w:rsidRPr="006166B4">
              <w:rPr>
                <w:sz w:val="20"/>
                <w:szCs w:val="20"/>
              </w:rPr>
              <w:t>Transparen</w:t>
            </w:r>
            <w:r>
              <w:rPr>
                <w:sz w:val="20"/>
                <w:szCs w:val="20"/>
              </w:rPr>
              <w:t>cia organizativa e institucional, solo se han localizado 2 informes de seguimiento relativos a un mismo plan.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333C8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Anteproyectos de ley y proyectos de decretos legislativos</w:t>
            </w:r>
          </w:p>
        </w:tc>
        <w:tc>
          <w:tcPr>
            <w:tcW w:w="567" w:type="dxa"/>
            <w:vAlign w:val="center"/>
          </w:tcPr>
          <w:p w:rsidR="006D4C90" w:rsidRPr="007942B7" w:rsidRDefault="0018330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66395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incluyen en el apartado Información de relevancia jurídica-Normativa en elaboración</w:t>
            </w:r>
          </w:p>
        </w:tc>
      </w:tr>
      <w:tr w:rsidR="0028502C" w:rsidRPr="007942B7" w:rsidTr="00183301">
        <w:tc>
          <w:tcPr>
            <w:tcW w:w="2093" w:type="dxa"/>
            <w:vMerge/>
          </w:tcPr>
          <w:p w:rsidR="0028502C" w:rsidRPr="007942B7" w:rsidRDefault="0028502C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8502C" w:rsidRDefault="00333C82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Proyectos de rango reglamentario</w:t>
            </w:r>
          </w:p>
        </w:tc>
        <w:tc>
          <w:tcPr>
            <w:tcW w:w="567" w:type="dxa"/>
            <w:vAlign w:val="center"/>
          </w:tcPr>
          <w:p w:rsidR="0028502C" w:rsidRPr="00183301" w:rsidRDefault="0028502C" w:rsidP="00183301">
            <w:pPr>
              <w:jc w:val="center"/>
              <w:rPr>
                <w:sz w:val="20"/>
                <w:szCs w:val="20"/>
              </w:rPr>
            </w:pPr>
            <w:r w:rsidRPr="0018330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8502C" w:rsidRPr="0028502C" w:rsidRDefault="00663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incluyen en el apartado Información de relevancia jurídica-Normativa en elaboración</w:t>
            </w:r>
          </w:p>
        </w:tc>
      </w:tr>
      <w:tr w:rsidR="0028502C" w:rsidRPr="007942B7" w:rsidTr="00183301">
        <w:tc>
          <w:tcPr>
            <w:tcW w:w="2093" w:type="dxa"/>
            <w:vMerge/>
          </w:tcPr>
          <w:p w:rsidR="0028502C" w:rsidRPr="007942B7" w:rsidRDefault="0028502C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8502C" w:rsidRDefault="00333C8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Memorias e informes que acompañan a los proyectos normativos</w:t>
            </w:r>
          </w:p>
        </w:tc>
        <w:tc>
          <w:tcPr>
            <w:tcW w:w="567" w:type="dxa"/>
            <w:vAlign w:val="center"/>
          </w:tcPr>
          <w:p w:rsidR="0028502C" w:rsidRPr="00183301" w:rsidRDefault="0028502C" w:rsidP="00183301">
            <w:pPr>
              <w:jc w:val="center"/>
              <w:rPr>
                <w:sz w:val="20"/>
                <w:szCs w:val="20"/>
              </w:rPr>
            </w:pPr>
            <w:r w:rsidRPr="0018330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8502C" w:rsidRPr="0028502C" w:rsidRDefault="00601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incluyen en el apartado Información de relevancia jurídica-Normativa en elaboración</w:t>
            </w:r>
          </w:p>
        </w:tc>
      </w:tr>
      <w:tr w:rsidR="0028502C" w:rsidRPr="007942B7" w:rsidTr="00183301">
        <w:tc>
          <w:tcPr>
            <w:tcW w:w="2093" w:type="dxa"/>
            <w:vMerge/>
          </w:tcPr>
          <w:p w:rsidR="0028502C" w:rsidRPr="007942B7" w:rsidRDefault="0028502C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8502C" w:rsidRDefault="00410FA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Resoluciones que autoricen el ejercicio de actividad privada con motivo  del ceso de los altos cargos de la Administración de la CA</w:t>
            </w:r>
          </w:p>
        </w:tc>
        <w:tc>
          <w:tcPr>
            <w:tcW w:w="567" w:type="dxa"/>
            <w:vAlign w:val="center"/>
          </w:tcPr>
          <w:p w:rsidR="0028502C" w:rsidRPr="00183301" w:rsidRDefault="0028502C" w:rsidP="00183301">
            <w:pPr>
              <w:jc w:val="center"/>
              <w:rPr>
                <w:sz w:val="20"/>
                <w:szCs w:val="20"/>
              </w:rPr>
            </w:pPr>
            <w:r w:rsidRPr="0018330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8502C" w:rsidRPr="0028502C" w:rsidRDefault="00616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0B22CE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0B22CE" w:rsidP="000B2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ha </w:t>
            </w:r>
            <w:r w:rsidRPr="000B22CE">
              <w:rPr>
                <w:sz w:val="20"/>
                <w:szCs w:val="20"/>
              </w:rPr>
              <w:t>revisa</w:t>
            </w:r>
            <w:r>
              <w:rPr>
                <w:sz w:val="20"/>
                <w:szCs w:val="20"/>
              </w:rPr>
              <w:t>do</w:t>
            </w:r>
            <w:r w:rsidRPr="000B22CE">
              <w:rPr>
                <w:sz w:val="20"/>
                <w:szCs w:val="20"/>
              </w:rPr>
              <w:t xml:space="preserve"> la organización de alguna información como la relativa a planes y programas - dispersa en diferentes Consejerías –, al margen del Portal de Transparencia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80749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28502C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Revisada de oficio. El formato de la web permite </w:t>
            </w:r>
            <w:r>
              <w:rPr>
                <w:sz w:val="20"/>
                <w:szCs w:val="20"/>
              </w:rPr>
              <w:lastRenderedPageBreak/>
              <w:t>tratamiento</w:t>
            </w:r>
            <w:r w:rsidR="00410FA7">
              <w:rPr>
                <w:sz w:val="20"/>
                <w:szCs w:val="20"/>
              </w:rPr>
              <w:t>. Los documentos están publicados en formatos reutilizables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18330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3C2AD7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incluye la fecha de actualización </w:t>
            </w:r>
            <w:r w:rsidR="000B22CE">
              <w:rPr>
                <w:sz w:val="20"/>
                <w:szCs w:val="20"/>
              </w:rPr>
              <w:t>y la información publicada se encuentra datada</w:t>
            </w:r>
            <w:r w:rsidR="009D1F6D">
              <w:rPr>
                <w:sz w:val="20"/>
                <w:szCs w:val="20"/>
              </w:rPr>
              <w:t xml:space="preserve"> 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EA385F" w:rsidP="00807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80605C" w:rsidRDefault="00AE00AB" w:rsidP="0080605C">
      <w:pPr>
        <w:jc w:val="both"/>
      </w:pPr>
      <w:r>
        <w:t>La Comunidad Autónoma de Cantabria</w:t>
      </w:r>
      <w:r w:rsidR="0080605C">
        <w:t xml:space="preserve"> </w:t>
      </w:r>
      <w:r w:rsidR="0080605C" w:rsidRPr="007D11BA">
        <w:rPr>
          <w:b/>
        </w:rPr>
        <w:t xml:space="preserve">ha aplicado </w:t>
      </w:r>
      <w:r w:rsidR="00E73840">
        <w:rPr>
          <w:b/>
        </w:rPr>
        <w:t>la práctica totalidad</w:t>
      </w:r>
      <w:r>
        <w:rPr>
          <w:b/>
        </w:rPr>
        <w:t xml:space="preserve"> de</w:t>
      </w:r>
      <w:r w:rsidR="0080605C" w:rsidRPr="007D11BA">
        <w:rPr>
          <w:b/>
        </w:rPr>
        <w:t xml:space="preserve"> recomendaciones</w:t>
      </w:r>
      <w:r w:rsidR="0080605C">
        <w:t xml:space="preserve"> efectuadas por este CTBG como consecuencia de la evaluación realizada en 2020. </w:t>
      </w:r>
    </w:p>
    <w:p w:rsidR="00FA5AFD" w:rsidRDefault="00FA5AFD" w:rsidP="00AC4A6F"/>
    <w:p w:rsidR="000B22CE" w:rsidRDefault="000B22CE" w:rsidP="000B22CE">
      <w:pPr>
        <w:pStyle w:val="Cuerpodelboletn"/>
      </w:pPr>
      <w:r>
        <w:t xml:space="preserve">Se ha ajustado la estructura del Portal de Transparencia de la Comunidad Autónoma al patrón de la </w:t>
      </w:r>
      <w:r w:rsidRPr="00AE00AB">
        <w:t>Ley 1/2018, de 21 de marzo, de Transparencia de la Actividad Pública (LTAP)</w:t>
      </w:r>
      <w:r>
        <w:t xml:space="preserve"> y, sin perjuicio de lo que posteriormente se señalará, el Portal incluye el conjunto de obligaciones de publicidad activa previstas en la LTAIBG.</w:t>
      </w:r>
    </w:p>
    <w:p w:rsidR="000B22CE" w:rsidRDefault="000B22CE" w:rsidP="000B22CE">
      <w:pPr>
        <w:pStyle w:val="Cuerpodelboletn"/>
      </w:pPr>
      <w:r>
        <w:t>Dentro del apartado de “Transparencia organizativa e institucional”, se ha incorporado la información relativa a Planes y Programas de Actividad. No obstante, se ha de llamar la atención sobre el hecho de que en el apartado de Ordenación del Territorio, Urbanismo y Medio Ambiente se incluye, en el apartado Medio Ambiente, referencia a Planes de Protección medio ambiental y animal o planes regionales y sectoriales de gestión de residuos, lo cual es acorde con el patrón de la LTAP, pero conlleva que no toda la información referida a Planes y Programas se pueda localizar en el mismo espacio.</w:t>
      </w:r>
    </w:p>
    <w:p w:rsidR="000B22CE" w:rsidRDefault="000B22CE" w:rsidP="000B22CE">
      <w:pPr>
        <w:pStyle w:val="Cuerpodelboletn"/>
      </w:pPr>
      <w:r>
        <w:t>Por otra parte, si bien es cierto que se publican en determinados casos los informes de seguimiento o evaluación de algunos de estos Planes, no se encuentran incluidos en todos los casos.</w:t>
      </w:r>
    </w:p>
    <w:p w:rsidR="000B22CE" w:rsidRDefault="000B22CE" w:rsidP="000B22CE">
      <w:pPr>
        <w:pStyle w:val="Cuerpodelboletn"/>
      </w:pPr>
      <w:r>
        <w:t>En cuanto a la publicación de proyectos normativos, de rango legal o reglamentario, y las memorias que han de acompañar a los mismos, se encuentran en el apartado “Información de relevancia jurídica”. En ella se agrupan los proyectos como Leyes y Decretos, y la información disponible se va incorporando a cada proyecto según evoluciona la tramitación.  Sin embargo, no todos los proyectos incluyen las memorias de acompañamiento junto a los textos normativos.</w:t>
      </w:r>
    </w:p>
    <w:p w:rsidR="000B22CE" w:rsidRDefault="000B22CE" w:rsidP="000B22CE">
      <w:pPr>
        <w:pStyle w:val="Cuerpodelboletn"/>
      </w:pPr>
      <w:r>
        <w:t>Por lo que se refiere a la contratación, el Portal ha incluido una base de datos de contratos, convenios, encomiendas de gestión y encargos a medio propio de la Administración General y sus Organismos Autónomos, que incorpora diversos filtros de búsqueda que distinguen entre los mencionados instrumentos, así como los órganos directivos u organismos afectados, y, en el caso de los contratos, el tipo de contrato y el procedimiento de contratación.</w:t>
      </w:r>
    </w:p>
    <w:p w:rsidR="000B22CE" w:rsidRDefault="000B22CE" w:rsidP="000B22CE">
      <w:pPr>
        <w:pStyle w:val="Cuerpodelboletn"/>
      </w:pPr>
      <w:r w:rsidRPr="000B22CE">
        <w:t xml:space="preserve">Se </w:t>
      </w:r>
      <w:r>
        <w:t xml:space="preserve">ha incluido </w:t>
      </w:r>
      <w:r w:rsidRPr="000B22CE">
        <w:t xml:space="preserve">la fecha de actualización </w:t>
      </w:r>
      <w:r>
        <w:t xml:space="preserve">de las distintas secciones </w:t>
      </w:r>
      <w:r w:rsidRPr="000B22CE">
        <w:t>y la información publicada se encuentra datada</w:t>
      </w:r>
      <w:r>
        <w:t>.</w:t>
      </w:r>
    </w:p>
    <w:p w:rsidR="00AE00AB" w:rsidRDefault="000B22CE" w:rsidP="000B22CE">
      <w:pPr>
        <w:jc w:val="both"/>
      </w:pPr>
      <w:r>
        <w:t>A tenor de lo expuesto, se puede concluir que la Comunidad Autónoma de Cantabria ha ajustado, con carácter general, su Portal de Transparencia a las previsiones de la LTAP.</w:t>
      </w:r>
    </w:p>
    <w:p w:rsidR="00AE00AB" w:rsidRDefault="00AE00AB" w:rsidP="00AC4A6F"/>
    <w:p w:rsidR="00AE00AB" w:rsidRDefault="00AE00AB" w:rsidP="00AC4A6F"/>
    <w:p w:rsidR="00AE00AB" w:rsidRDefault="00AE00AB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339B" w:rsidRPr="00F31BC3" w:rsidRDefault="006D339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6D339B" w:rsidRPr="00F31BC3" w:rsidRDefault="006D339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E73840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558" w:type="dxa"/>
        <w:tblInd w:w="-318" w:type="dxa"/>
        <w:tblLook w:val="04A0" w:firstRow="1" w:lastRow="0" w:firstColumn="1" w:lastColumn="0" w:noHBand="0" w:noVBand="1"/>
      </w:tblPr>
      <w:tblGrid>
        <w:gridCol w:w="482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8C6B87" w:rsidRPr="00225B8D" w:rsidTr="00E73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C6B87" w:rsidRPr="00225B8D" w:rsidRDefault="008C6B87" w:rsidP="00E73840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C6B87" w:rsidRPr="00225B8D" w:rsidRDefault="008C6B87" w:rsidP="00E7384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C6B87" w:rsidRPr="00225B8D" w:rsidRDefault="008C6B87" w:rsidP="00E7384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C6B87" w:rsidRPr="00225B8D" w:rsidRDefault="008C6B87" w:rsidP="00E7384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C6B87" w:rsidRPr="00225B8D" w:rsidRDefault="008C6B87" w:rsidP="00E7384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C6B87" w:rsidRPr="00225B8D" w:rsidRDefault="008C6B87" w:rsidP="00E7384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C6B87" w:rsidRPr="00225B8D" w:rsidRDefault="008C6B87" w:rsidP="00E7384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C6B87" w:rsidRPr="00225B8D" w:rsidRDefault="008C6B87" w:rsidP="00E7384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C6B87" w:rsidRPr="00225B8D" w:rsidRDefault="008C6B87" w:rsidP="00E73840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E73840" w:rsidRPr="00225B8D" w:rsidTr="00E7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73840" w:rsidRPr="00225B8D" w:rsidRDefault="00E73840" w:rsidP="00E73840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85,0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87,9</w:t>
            </w:r>
          </w:p>
        </w:tc>
      </w:tr>
      <w:tr w:rsidR="00E73840" w:rsidRPr="00225B8D" w:rsidTr="00E7384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E73840" w:rsidRPr="00225B8D" w:rsidRDefault="00E73840" w:rsidP="00E73840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</w:tr>
      <w:tr w:rsidR="00E73840" w:rsidRPr="00225B8D" w:rsidTr="00E7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73840" w:rsidRPr="00225B8D" w:rsidRDefault="00E73840" w:rsidP="00E73840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94,7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84,2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94,7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84,2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94,7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94,7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94,7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91,7</w:t>
            </w:r>
          </w:p>
        </w:tc>
      </w:tr>
      <w:tr w:rsidR="00E73840" w:rsidRPr="00225B8D" w:rsidTr="00E7384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E73840" w:rsidRPr="00225B8D" w:rsidRDefault="00E73840" w:rsidP="00E73840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73840" w:rsidRPr="00E73840" w:rsidRDefault="00E73840" w:rsidP="00E7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840">
              <w:rPr>
                <w:sz w:val="18"/>
                <w:szCs w:val="18"/>
              </w:rPr>
              <w:t>100,0</w:t>
            </w:r>
          </w:p>
        </w:tc>
      </w:tr>
      <w:tr w:rsidR="00E73840" w:rsidRPr="00225B8D" w:rsidTr="00E7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73840" w:rsidRPr="00225B8D" w:rsidRDefault="00E73840" w:rsidP="00E73840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225B8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73840" w:rsidRPr="006D339B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D339B">
              <w:rPr>
                <w:b/>
                <w:i/>
                <w:sz w:val="18"/>
                <w:szCs w:val="18"/>
              </w:rPr>
              <w:t>94,4</w:t>
            </w:r>
          </w:p>
        </w:tc>
        <w:tc>
          <w:tcPr>
            <w:tcW w:w="0" w:type="auto"/>
            <w:noWrap/>
            <w:vAlign w:val="center"/>
          </w:tcPr>
          <w:p w:rsidR="00E73840" w:rsidRPr="006D339B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D339B">
              <w:rPr>
                <w:b/>
                <w:i/>
                <w:sz w:val="18"/>
                <w:szCs w:val="18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E73840" w:rsidRPr="006D339B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D339B">
              <w:rPr>
                <w:b/>
                <w:i/>
                <w:sz w:val="18"/>
                <w:szCs w:val="18"/>
              </w:rPr>
              <w:t>94,4</w:t>
            </w:r>
          </w:p>
        </w:tc>
        <w:tc>
          <w:tcPr>
            <w:tcW w:w="0" w:type="auto"/>
            <w:noWrap/>
            <w:vAlign w:val="center"/>
          </w:tcPr>
          <w:p w:rsidR="00E73840" w:rsidRPr="006D339B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D339B">
              <w:rPr>
                <w:b/>
                <w:i/>
                <w:sz w:val="18"/>
                <w:szCs w:val="18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E73840" w:rsidRPr="006D339B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D339B">
              <w:rPr>
                <w:b/>
                <w:i/>
                <w:sz w:val="18"/>
                <w:szCs w:val="18"/>
              </w:rPr>
              <w:t>94,4</w:t>
            </w:r>
          </w:p>
        </w:tc>
        <w:tc>
          <w:tcPr>
            <w:tcW w:w="0" w:type="auto"/>
            <w:noWrap/>
            <w:vAlign w:val="center"/>
          </w:tcPr>
          <w:p w:rsidR="00E73840" w:rsidRPr="006D339B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D339B">
              <w:rPr>
                <w:b/>
                <w:i/>
                <w:sz w:val="18"/>
                <w:szCs w:val="18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E73840" w:rsidRPr="006D339B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D339B">
              <w:rPr>
                <w:b/>
                <w:i/>
                <w:sz w:val="18"/>
                <w:szCs w:val="18"/>
              </w:rPr>
              <w:t>93,1</w:t>
            </w:r>
          </w:p>
        </w:tc>
        <w:tc>
          <w:tcPr>
            <w:tcW w:w="0" w:type="auto"/>
            <w:noWrap/>
            <w:vAlign w:val="center"/>
          </w:tcPr>
          <w:p w:rsidR="00E73840" w:rsidRPr="006D339B" w:rsidRDefault="00E73840" w:rsidP="00E73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D339B">
              <w:rPr>
                <w:b/>
                <w:i/>
                <w:sz w:val="18"/>
                <w:szCs w:val="18"/>
              </w:rPr>
              <w:t>92,3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6D339B" w:rsidRPr="00225B8D" w:rsidRDefault="006D339B" w:rsidP="006D339B">
      <w:pPr>
        <w:spacing w:after="200" w:line="276" w:lineRule="auto"/>
        <w:jc w:val="both"/>
        <w:rPr>
          <w:rFonts w:eastAsia="Times New Roman" w:cs="Times New Roman"/>
          <w:szCs w:val="22"/>
          <w:lang w:eastAsia="es-ES"/>
        </w:rPr>
      </w:pPr>
      <w:r w:rsidRPr="00225B8D">
        <w:rPr>
          <w:rFonts w:eastAsia="Times New Roman" w:cs="Times New Roman"/>
          <w:szCs w:val="22"/>
          <w:lang w:eastAsia="es-ES"/>
        </w:rPr>
        <w:t xml:space="preserve">El Índice de Cumplimiento de la Información Obligatoria (ICIO) se sitúa en el </w:t>
      </w:r>
      <w:r>
        <w:rPr>
          <w:rFonts w:eastAsia="Times New Roman" w:cs="Times New Roman"/>
          <w:szCs w:val="22"/>
          <w:lang w:eastAsia="es-ES"/>
        </w:rPr>
        <w:t>92,3</w:t>
      </w:r>
      <w:r w:rsidRPr="00225B8D">
        <w:rPr>
          <w:rFonts w:eastAsia="Times New Roman" w:cs="Times New Roman"/>
          <w:szCs w:val="22"/>
          <w:lang w:eastAsia="es-ES"/>
        </w:rPr>
        <w:t xml:space="preserve">%. </w:t>
      </w:r>
      <w:r>
        <w:rPr>
          <w:rFonts w:eastAsia="Times New Roman" w:cs="Times New Roman"/>
          <w:szCs w:val="22"/>
          <w:lang w:eastAsia="es-ES"/>
        </w:rPr>
        <w:t>La falta de publicación de información sobre los resultados de planes y programas – solo se publican dos informes de seguimiento – y sobre las autorizaciones para el ejercicio de actividades privadas al cese de altos cargos son, los</w:t>
      </w:r>
      <w:r w:rsidRPr="00225B8D">
        <w:rPr>
          <w:rFonts w:eastAsia="Times New Roman" w:cs="Times New Roman"/>
          <w:szCs w:val="22"/>
          <w:lang w:eastAsia="es-ES"/>
        </w:rPr>
        <w:t xml:space="preserve"> dos factores que explican el nivel de cumplimiento alcanzado.</w:t>
      </w:r>
    </w:p>
    <w:p w:rsidR="006D339B" w:rsidRDefault="006D339B" w:rsidP="006D339B">
      <w:pPr>
        <w:pStyle w:val="Cuerpodelboletn"/>
      </w:pPr>
      <w:r>
        <w:t xml:space="preserve">Respecto de 2020, el ICIO se ha incrementado en 16 puntos porcentuales, incremento atribuible a la aplicación de la práctica totalidad de las recomendaciones efectuadas por este Consejo en 2020. </w:t>
      </w:r>
    </w:p>
    <w:p w:rsidR="00A54B8C" w:rsidRDefault="00A54B8C" w:rsidP="00F05E2C">
      <w:pPr>
        <w:pStyle w:val="Cuerpodelboletn"/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80605C" w:rsidRDefault="006D339B" w:rsidP="0080605C">
      <w:pPr>
        <w:pStyle w:val="Cuerpodelboletn"/>
      </w:pPr>
      <w:r>
        <w:t>La evolución del cumplimiento de las obligaciones de publicidad activa por parte de la Comunidad Autónoma de Cantabria ha sido</w:t>
      </w:r>
      <w:r>
        <w:rPr>
          <w:b/>
        </w:rPr>
        <w:t xml:space="preserve"> muy</w:t>
      </w:r>
      <w:r w:rsidR="0080605C" w:rsidRPr="00400F39">
        <w:rPr>
          <w:b/>
        </w:rPr>
        <w:t xml:space="preserve"> </w:t>
      </w:r>
      <w:r w:rsidR="00AE00AB">
        <w:rPr>
          <w:b/>
        </w:rPr>
        <w:t>posi</w:t>
      </w:r>
      <w:r w:rsidR="0080605C" w:rsidRPr="00400F39">
        <w:rPr>
          <w:b/>
        </w:rPr>
        <w:t>tiva</w:t>
      </w:r>
      <w:r w:rsidR="00AE00AB">
        <w:t>.</w:t>
      </w:r>
    </w:p>
    <w:p w:rsidR="0080605C" w:rsidRDefault="006D339B" w:rsidP="0080605C">
      <w:pPr>
        <w:pStyle w:val="Cuerpodelboletn"/>
      </w:pPr>
      <w:r>
        <w:t>Aunque todavía subsisten áreas de mejora que podrían abordarse</w:t>
      </w:r>
      <w:r w:rsidR="0099442A">
        <w:t>:</w:t>
      </w:r>
    </w:p>
    <w:p w:rsidR="005B79BF" w:rsidRDefault="005B79BF" w:rsidP="00701B33">
      <w:pPr>
        <w:pStyle w:val="Cuerpodelboletn"/>
        <w:numPr>
          <w:ilvl w:val="0"/>
          <w:numId w:val="18"/>
        </w:numPr>
      </w:pPr>
      <w:r>
        <w:t>Sería conveniente recoger toda la información referente a Planes y Programas en el mismo espacio</w:t>
      </w:r>
      <w:r w:rsidR="000B22CE">
        <w:t>, reseñando el conjunto de planes y enlazando a la sección correspondiente del Portal, de acuerdo con la estructuración de la LTAP</w:t>
      </w:r>
      <w:r>
        <w:t>.</w:t>
      </w:r>
    </w:p>
    <w:p w:rsidR="0099442A" w:rsidRDefault="0099442A" w:rsidP="00701B33">
      <w:pPr>
        <w:pStyle w:val="Cuerpodelboletn"/>
        <w:numPr>
          <w:ilvl w:val="0"/>
          <w:numId w:val="18"/>
        </w:numPr>
      </w:pPr>
      <w:r>
        <w:t xml:space="preserve">En el apartado de </w:t>
      </w:r>
      <w:r w:rsidR="005B79BF">
        <w:t>Planes y Programas de Actividad</w:t>
      </w:r>
      <w:r>
        <w:t xml:space="preserve"> se han </w:t>
      </w:r>
      <w:r w:rsidR="004C27AC">
        <w:t>incluido</w:t>
      </w:r>
      <w:r>
        <w:t xml:space="preserve">, en determinados casos, los informes de seguimiento o evaluación de los </w:t>
      </w:r>
      <w:r w:rsidR="005B79BF">
        <w:t>Planes publicados. No obstante, esta información no se encuentra recogida en relación con buena parte de las estrategias y planes publicados.</w:t>
      </w:r>
      <w:r w:rsidR="004C27AC">
        <w:t xml:space="preserve"> Si no existiera, sería conveniente hacerlo constar.</w:t>
      </w:r>
    </w:p>
    <w:p w:rsidR="0080605C" w:rsidRDefault="00701B33" w:rsidP="00701B33">
      <w:pPr>
        <w:pStyle w:val="Cuerpodelboletn"/>
        <w:numPr>
          <w:ilvl w:val="0"/>
          <w:numId w:val="18"/>
        </w:numPr>
      </w:pPr>
      <w:r w:rsidRPr="00701B33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B631B4" wp14:editId="559DA7B9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ENPngE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701B3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E8B384" wp14:editId="733BA1AC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339B" w:rsidRPr="00F31BC3" w:rsidRDefault="006D339B" w:rsidP="00701B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2DA20A1" wp14:editId="75229B39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.75pt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OSxWvw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6D339B" w:rsidRPr="00F31BC3" w:rsidRDefault="006D339B" w:rsidP="00701B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2DA20A1" wp14:editId="75229B39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601553">
        <w:t xml:space="preserve">No todos los proyectos normativos publicados se acompañan de </w:t>
      </w:r>
      <w:r w:rsidR="004C27AC">
        <w:t xml:space="preserve">sus </w:t>
      </w:r>
      <w:r w:rsidR="00601553">
        <w:t>memorias preceptivas.</w:t>
      </w:r>
    </w:p>
    <w:p w:rsidR="006166B4" w:rsidRDefault="006166B4" w:rsidP="00B9237A">
      <w:pPr>
        <w:pStyle w:val="Cuerpodelboletn"/>
        <w:numPr>
          <w:ilvl w:val="0"/>
          <w:numId w:val="18"/>
        </w:numPr>
      </w:pPr>
      <w:r>
        <w:t xml:space="preserve">No se ha localizado la información correspondiente a </w:t>
      </w:r>
      <w:r w:rsidR="00B9237A">
        <w:t>las r</w:t>
      </w:r>
      <w:r w:rsidR="00B9237A" w:rsidRPr="00B9237A">
        <w:t>esoluciones que autoricen el ejercicio de actividad privada con motivo  del ces</w:t>
      </w:r>
      <w:r w:rsidR="008C6B87">
        <w:t>e</w:t>
      </w:r>
      <w:r w:rsidR="00B9237A" w:rsidRPr="00B9237A">
        <w:t xml:space="preserve"> de los altos cargos de la Administración de la </w:t>
      </w:r>
      <w:r w:rsidR="00B9237A">
        <w:t xml:space="preserve">Comunidad Autónoma de Cantabria. </w:t>
      </w:r>
      <w:r w:rsidR="006D339B">
        <w:t xml:space="preserve">En el Portal de Transparencia se hace constar que la Ley de Cantabria 1/2018 de Transparencia </w:t>
      </w:r>
      <w:r w:rsidR="006D339B" w:rsidRPr="006D339B">
        <w:t xml:space="preserve">de la Actividad Pública no recoge esta obligación, pero </w:t>
      </w:r>
      <w:r w:rsidR="006D339B">
        <w:t>ello no obsta que esta información deba publicarse en aplicación del artículo 8.g) de la LTAIBG</w:t>
      </w:r>
      <w:r w:rsidR="00C32F00">
        <w:t>.</w:t>
      </w:r>
      <w:bookmarkStart w:id="0" w:name="_GoBack"/>
      <w:bookmarkEnd w:id="0"/>
    </w:p>
    <w:p w:rsidR="0080605C" w:rsidRDefault="0080605C" w:rsidP="0080605C">
      <w:pPr>
        <w:pStyle w:val="Cuerpodelboletn"/>
      </w:pPr>
    </w:p>
    <w:p w:rsidR="0080605C" w:rsidRDefault="0080605C" w:rsidP="0080605C">
      <w:pPr>
        <w:pStyle w:val="Cuerpodelboletn"/>
      </w:pPr>
      <w:r>
        <w:t xml:space="preserve">Madrid, </w:t>
      </w:r>
      <w:r w:rsidR="00601553">
        <w:t>octubre</w:t>
      </w:r>
      <w: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01B33" w:rsidRDefault="00701B3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3E1F6A" w:rsidRDefault="003E1F6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3E1F6A" w:rsidRDefault="003E1F6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3E1F6A" w:rsidRDefault="003E1F6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3E1F6A" w:rsidRDefault="003E1F6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3E1F6A" w:rsidRDefault="003E1F6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3E1F6A" w:rsidRDefault="003E1F6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3E1F6A" w:rsidRDefault="003E1F6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339B" w:rsidRPr="00F31BC3" w:rsidRDefault="006D339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6D339B" w:rsidRPr="00F31BC3" w:rsidRDefault="006D339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6D339B" w:rsidRPr="00F31BC3" w:rsidRDefault="006D339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6D339B" w:rsidRPr="00F31BC3" w:rsidRDefault="006D339B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LUGAR 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lastRenderedPageBreak/>
              <w:t>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lastRenderedPageBreak/>
              <w:t xml:space="preserve">Dónde quedan publicadas las 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lastRenderedPageBreak/>
              <w:t>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lastRenderedPageBreak/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Apartado específico o banner en la página inicial 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lastRenderedPageBreak/>
              <w:t>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9B" w:rsidRDefault="006D339B" w:rsidP="00F31BC3">
      <w:r>
        <w:separator/>
      </w:r>
    </w:p>
  </w:endnote>
  <w:endnote w:type="continuationSeparator" w:id="0">
    <w:p w:rsidR="006D339B" w:rsidRDefault="006D339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9B" w:rsidRDefault="006D339B" w:rsidP="00F31BC3">
      <w:r>
        <w:separator/>
      </w:r>
    </w:p>
  </w:footnote>
  <w:footnote w:type="continuationSeparator" w:id="0">
    <w:p w:rsidR="006D339B" w:rsidRDefault="006D339B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B22CE"/>
    <w:rsid w:val="000D3907"/>
    <w:rsid w:val="000D5417"/>
    <w:rsid w:val="000E0A9E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2127CA"/>
    <w:rsid w:val="0021682B"/>
    <w:rsid w:val="00231D61"/>
    <w:rsid w:val="00243294"/>
    <w:rsid w:val="00244EDA"/>
    <w:rsid w:val="002467FA"/>
    <w:rsid w:val="00263F79"/>
    <w:rsid w:val="0028502C"/>
    <w:rsid w:val="002D0702"/>
    <w:rsid w:val="002D27E4"/>
    <w:rsid w:val="002E409F"/>
    <w:rsid w:val="0031769F"/>
    <w:rsid w:val="00333C82"/>
    <w:rsid w:val="00347877"/>
    <w:rsid w:val="00355DC0"/>
    <w:rsid w:val="003A1694"/>
    <w:rsid w:val="003A390C"/>
    <w:rsid w:val="003B57E6"/>
    <w:rsid w:val="003B6B96"/>
    <w:rsid w:val="003C2AD7"/>
    <w:rsid w:val="003D2C4A"/>
    <w:rsid w:val="003E1F6A"/>
    <w:rsid w:val="003E564B"/>
    <w:rsid w:val="003E5D2F"/>
    <w:rsid w:val="003F6EDC"/>
    <w:rsid w:val="00410FA7"/>
    <w:rsid w:val="00415DBD"/>
    <w:rsid w:val="00422B18"/>
    <w:rsid w:val="004720A5"/>
    <w:rsid w:val="0047735C"/>
    <w:rsid w:val="004859CC"/>
    <w:rsid w:val="004A1663"/>
    <w:rsid w:val="004B7FC7"/>
    <w:rsid w:val="004C27AC"/>
    <w:rsid w:val="004C6440"/>
    <w:rsid w:val="004D50CC"/>
    <w:rsid w:val="004D7037"/>
    <w:rsid w:val="004E7B33"/>
    <w:rsid w:val="00506864"/>
    <w:rsid w:val="005301DF"/>
    <w:rsid w:val="00536832"/>
    <w:rsid w:val="00552924"/>
    <w:rsid w:val="00563295"/>
    <w:rsid w:val="005B1544"/>
    <w:rsid w:val="005B79BF"/>
    <w:rsid w:val="005C4778"/>
    <w:rsid w:val="005E2505"/>
    <w:rsid w:val="005E6704"/>
    <w:rsid w:val="00601553"/>
    <w:rsid w:val="00603DFC"/>
    <w:rsid w:val="006166B4"/>
    <w:rsid w:val="00633EAA"/>
    <w:rsid w:val="0066395B"/>
    <w:rsid w:val="0069673B"/>
    <w:rsid w:val="006B75D8"/>
    <w:rsid w:val="006C0CDD"/>
    <w:rsid w:val="006D339B"/>
    <w:rsid w:val="006D49E7"/>
    <w:rsid w:val="006D4C90"/>
    <w:rsid w:val="006E75DE"/>
    <w:rsid w:val="00701B33"/>
    <w:rsid w:val="007071A8"/>
    <w:rsid w:val="00707C14"/>
    <w:rsid w:val="00714C54"/>
    <w:rsid w:val="0071691D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1701"/>
    <w:rsid w:val="007D5CBF"/>
    <w:rsid w:val="007D69D9"/>
    <w:rsid w:val="007F1D56"/>
    <w:rsid w:val="007F5F9D"/>
    <w:rsid w:val="00803D20"/>
    <w:rsid w:val="0080605C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8C6B87"/>
    <w:rsid w:val="00902A71"/>
    <w:rsid w:val="009039FD"/>
    <w:rsid w:val="00903FE0"/>
    <w:rsid w:val="00912DB4"/>
    <w:rsid w:val="009654DA"/>
    <w:rsid w:val="00965C69"/>
    <w:rsid w:val="00982299"/>
    <w:rsid w:val="0099442A"/>
    <w:rsid w:val="009B75CD"/>
    <w:rsid w:val="009C5469"/>
    <w:rsid w:val="009D1F6D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51AAD"/>
    <w:rsid w:val="00A54B8C"/>
    <w:rsid w:val="00A82709"/>
    <w:rsid w:val="00AA0AE1"/>
    <w:rsid w:val="00AC2723"/>
    <w:rsid w:val="00AC4A6F"/>
    <w:rsid w:val="00AD6065"/>
    <w:rsid w:val="00AE00AB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9237A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7705"/>
    <w:rsid w:val="00C3228C"/>
    <w:rsid w:val="00C32F00"/>
    <w:rsid w:val="00C4050E"/>
    <w:rsid w:val="00C4430D"/>
    <w:rsid w:val="00C451D3"/>
    <w:rsid w:val="00C54D21"/>
    <w:rsid w:val="00C555C6"/>
    <w:rsid w:val="00C61E7F"/>
    <w:rsid w:val="00C66E73"/>
    <w:rsid w:val="00C91330"/>
    <w:rsid w:val="00CC48E8"/>
    <w:rsid w:val="00CD3DE8"/>
    <w:rsid w:val="00CD5302"/>
    <w:rsid w:val="00CF21EB"/>
    <w:rsid w:val="00D014E1"/>
    <w:rsid w:val="00D01CA1"/>
    <w:rsid w:val="00D1453D"/>
    <w:rsid w:val="00D16C43"/>
    <w:rsid w:val="00D3672E"/>
    <w:rsid w:val="00D41F4C"/>
    <w:rsid w:val="00D520C8"/>
    <w:rsid w:val="00D70570"/>
    <w:rsid w:val="00D96084"/>
    <w:rsid w:val="00DA6660"/>
    <w:rsid w:val="00DC5B52"/>
    <w:rsid w:val="00DD515F"/>
    <w:rsid w:val="00DF25D7"/>
    <w:rsid w:val="00DF555F"/>
    <w:rsid w:val="00E023B5"/>
    <w:rsid w:val="00E17DF6"/>
    <w:rsid w:val="00E33169"/>
    <w:rsid w:val="00E51AC4"/>
    <w:rsid w:val="00E6528C"/>
    <w:rsid w:val="00E73840"/>
    <w:rsid w:val="00E73F4D"/>
    <w:rsid w:val="00EA385F"/>
    <w:rsid w:val="00EC6A3E"/>
    <w:rsid w:val="00ED30F1"/>
    <w:rsid w:val="00ED57F6"/>
    <w:rsid w:val="00ED6104"/>
    <w:rsid w:val="00ED7D79"/>
    <w:rsid w:val="00EE5F85"/>
    <w:rsid w:val="00EF5B46"/>
    <w:rsid w:val="00EF6910"/>
    <w:rsid w:val="00EF7B14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C6B8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C6B8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583D19"/>
    <w:rsid w:val="005D1938"/>
    <w:rsid w:val="006509F0"/>
    <w:rsid w:val="00787EBD"/>
    <w:rsid w:val="008E118A"/>
    <w:rsid w:val="00A005E7"/>
    <w:rsid w:val="00AB484A"/>
    <w:rsid w:val="00C32372"/>
    <w:rsid w:val="00DE3DE6"/>
    <w:rsid w:val="00EB2177"/>
    <w:rsid w:val="00EF5732"/>
    <w:rsid w:val="00F0158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EB79C-5960-428B-9B37-B354C336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326</TotalTime>
  <Pages>6</Pages>
  <Words>1362</Words>
  <Characters>7491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15</cp:revision>
  <cp:lastPrinted>2008-09-26T23:14:00Z</cp:lastPrinted>
  <dcterms:created xsi:type="dcterms:W3CDTF">2021-10-07T07:40:00Z</dcterms:created>
  <dcterms:modified xsi:type="dcterms:W3CDTF">2021-11-26T09:13:00Z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