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7B5" w:rsidRPr="006C0214" w:rsidRDefault="006F17B5" w:rsidP="001B16D9">
      <w:pPr>
        <w:pStyle w:val="Ttulo1"/>
        <w:jc w:val="both"/>
        <w:rPr>
          <w:color w:val="6BA999"/>
        </w:rPr>
      </w:pPr>
      <w:r w:rsidRPr="006C0214">
        <w:rPr>
          <w:color w:val="6BA999"/>
        </w:rPr>
        <w:t xml:space="preserve">INFORME RELATIVO A LAS OBSERVACIONES REMITIDAS POR </w:t>
      </w:r>
      <w:r w:rsidR="00434CB0">
        <w:rPr>
          <w:color w:val="6BA999"/>
        </w:rPr>
        <w:t xml:space="preserve">LA </w:t>
      </w:r>
      <w:r w:rsidR="00DE175C">
        <w:rPr>
          <w:color w:val="6BA999"/>
        </w:rPr>
        <w:t xml:space="preserve">COMUNIDAD AUTÓNOMA DE </w:t>
      </w:r>
      <w:r w:rsidR="00FD0035">
        <w:rPr>
          <w:color w:val="6BA999"/>
        </w:rPr>
        <w:t>EXTREMADURA</w:t>
      </w:r>
      <w:r w:rsidR="00434CB0">
        <w:rPr>
          <w:color w:val="6BA999"/>
        </w:rPr>
        <w:t xml:space="preserve"> </w:t>
      </w:r>
      <w:r w:rsidRPr="006C0214">
        <w:rPr>
          <w:color w:val="6BA999"/>
        </w:rPr>
        <w:t>EN RELACIÓN CON EL INFORME DEL CTBG SOBRE CUMPLIMIENTO DE LAS OBLIGACIONES DE PUBLICIDAD ACTIVA ESTABLECIDAS POR LA LTAIBG</w:t>
      </w:r>
    </w:p>
    <w:p w:rsidR="006F17B5" w:rsidRPr="006F17B5" w:rsidRDefault="006F17B5" w:rsidP="006F17B5">
      <w:pPr>
        <w:jc w:val="center"/>
        <w:rPr>
          <w:rFonts w:asciiTheme="minorHAnsi" w:hAnsiTheme="minorHAnsi" w:cstheme="minorHAnsi"/>
          <w:szCs w:val="24"/>
        </w:rPr>
      </w:pPr>
    </w:p>
    <w:p w:rsidR="00AF2582" w:rsidRDefault="00AF2582" w:rsidP="009E16B5">
      <w:pPr>
        <w:tabs>
          <w:tab w:val="left" w:pos="284"/>
        </w:tabs>
        <w:spacing w:before="120" w:after="120" w:line="312" w:lineRule="auto"/>
        <w:contextualSpacing/>
        <w:jc w:val="both"/>
        <w:rPr>
          <w:rFonts w:asciiTheme="minorHAnsi" w:hAnsiTheme="minorHAnsi" w:cstheme="minorHAnsi"/>
          <w:szCs w:val="24"/>
        </w:rPr>
      </w:pPr>
    </w:p>
    <w:p w:rsidR="00D23111" w:rsidRDefault="00D23111" w:rsidP="009E16B5">
      <w:pPr>
        <w:tabs>
          <w:tab w:val="left" w:pos="284"/>
        </w:tabs>
        <w:spacing w:before="120" w:after="120" w:line="312" w:lineRule="auto"/>
        <w:contextualSpacing/>
        <w:jc w:val="both"/>
        <w:rPr>
          <w:rFonts w:asciiTheme="minorHAnsi" w:hAnsiTheme="minorHAnsi" w:cstheme="minorHAnsi"/>
          <w:szCs w:val="24"/>
        </w:rPr>
      </w:pPr>
      <w:r w:rsidRPr="002C000A">
        <w:rPr>
          <w:rFonts w:asciiTheme="minorHAnsi" w:hAnsiTheme="minorHAnsi" w:cstheme="minorHAnsi"/>
          <w:szCs w:val="24"/>
        </w:rPr>
        <w:t xml:space="preserve">En contestación a su </w:t>
      </w:r>
      <w:r w:rsidR="00992437">
        <w:rPr>
          <w:rFonts w:asciiTheme="minorHAnsi" w:hAnsiTheme="minorHAnsi" w:cstheme="minorHAnsi"/>
          <w:szCs w:val="24"/>
        </w:rPr>
        <w:t xml:space="preserve">escrito </w:t>
      </w:r>
      <w:r w:rsidRPr="002C000A">
        <w:rPr>
          <w:rFonts w:asciiTheme="minorHAnsi" w:hAnsiTheme="minorHAnsi" w:cstheme="minorHAnsi"/>
          <w:szCs w:val="24"/>
        </w:rPr>
        <w:t xml:space="preserve">de </w:t>
      </w:r>
      <w:r w:rsidR="00EC2804">
        <w:rPr>
          <w:rFonts w:asciiTheme="minorHAnsi" w:hAnsiTheme="minorHAnsi" w:cstheme="minorHAnsi"/>
          <w:szCs w:val="24"/>
        </w:rPr>
        <w:t>1</w:t>
      </w:r>
      <w:r w:rsidR="00A84CE4">
        <w:rPr>
          <w:rFonts w:asciiTheme="minorHAnsi" w:hAnsiTheme="minorHAnsi" w:cstheme="minorHAnsi"/>
          <w:szCs w:val="24"/>
        </w:rPr>
        <w:t>5</w:t>
      </w:r>
      <w:r w:rsidR="00EC2804">
        <w:rPr>
          <w:rFonts w:asciiTheme="minorHAnsi" w:hAnsiTheme="minorHAnsi" w:cstheme="minorHAnsi"/>
          <w:szCs w:val="24"/>
        </w:rPr>
        <w:t xml:space="preserve"> de diciembre</w:t>
      </w:r>
      <w:r w:rsidR="00434CB0" w:rsidRPr="002C000A">
        <w:rPr>
          <w:rFonts w:asciiTheme="minorHAnsi" w:hAnsiTheme="minorHAnsi" w:cstheme="minorHAnsi"/>
          <w:szCs w:val="24"/>
        </w:rPr>
        <w:t xml:space="preserve"> </w:t>
      </w:r>
      <w:r w:rsidRPr="002C000A">
        <w:rPr>
          <w:rFonts w:asciiTheme="minorHAnsi" w:hAnsiTheme="minorHAnsi" w:cstheme="minorHAnsi"/>
          <w:szCs w:val="24"/>
        </w:rPr>
        <w:t>de 202</w:t>
      </w:r>
      <w:r w:rsidR="00855ECA">
        <w:rPr>
          <w:rFonts w:asciiTheme="minorHAnsi" w:hAnsiTheme="minorHAnsi" w:cstheme="minorHAnsi"/>
          <w:szCs w:val="24"/>
        </w:rPr>
        <w:t>1</w:t>
      </w:r>
      <w:r w:rsidR="00C119CE">
        <w:rPr>
          <w:rFonts w:asciiTheme="minorHAnsi" w:hAnsiTheme="minorHAnsi" w:cstheme="minorHAnsi"/>
          <w:szCs w:val="24"/>
        </w:rPr>
        <w:t>,</w:t>
      </w:r>
      <w:r w:rsidR="005B1C12" w:rsidRPr="002C000A">
        <w:rPr>
          <w:rFonts w:asciiTheme="minorHAnsi" w:hAnsiTheme="minorHAnsi" w:cstheme="minorHAnsi"/>
          <w:szCs w:val="24"/>
        </w:rPr>
        <w:t xml:space="preserve"> </w:t>
      </w:r>
      <w:r w:rsidRPr="002C000A">
        <w:rPr>
          <w:rFonts w:asciiTheme="minorHAnsi" w:hAnsiTheme="minorHAnsi" w:cstheme="minorHAnsi"/>
          <w:szCs w:val="24"/>
        </w:rPr>
        <w:t xml:space="preserve">una vez analizadas las observaciones realizadas al borrador de informe de evaluación </w:t>
      </w:r>
      <w:r w:rsidR="00B81EE6" w:rsidRPr="002C000A">
        <w:rPr>
          <w:rFonts w:asciiTheme="minorHAnsi" w:hAnsiTheme="minorHAnsi" w:cstheme="minorHAnsi"/>
          <w:szCs w:val="24"/>
        </w:rPr>
        <w:t xml:space="preserve">relativo al </w:t>
      </w:r>
      <w:r w:rsidRPr="002C000A">
        <w:rPr>
          <w:rFonts w:asciiTheme="minorHAnsi" w:hAnsiTheme="minorHAnsi" w:cstheme="minorHAnsi"/>
          <w:szCs w:val="24"/>
        </w:rPr>
        <w:t xml:space="preserve">cumplimiento de las obligaciones de publicidad activa por parte de esa </w:t>
      </w:r>
      <w:r w:rsidR="003A3E82">
        <w:rPr>
          <w:rFonts w:asciiTheme="minorHAnsi" w:hAnsiTheme="minorHAnsi" w:cstheme="minorHAnsi"/>
          <w:szCs w:val="24"/>
        </w:rPr>
        <w:t>Comunidad Autónoma</w:t>
      </w:r>
      <w:r w:rsidRPr="002C000A">
        <w:rPr>
          <w:rFonts w:asciiTheme="minorHAnsi" w:hAnsiTheme="minorHAnsi" w:cstheme="minorHAnsi"/>
          <w:szCs w:val="24"/>
        </w:rPr>
        <w:t>, este CTBG efectúa las siguientes consideraciones:</w:t>
      </w:r>
    </w:p>
    <w:p w:rsidR="00AF2582" w:rsidRDefault="00AF2582" w:rsidP="00AF2582">
      <w:pPr>
        <w:tabs>
          <w:tab w:val="left" w:pos="284"/>
        </w:tabs>
        <w:spacing w:before="120" w:after="120" w:line="312" w:lineRule="auto"/>
        <w:jc w:val="both"/>
        <w:rPr>
          <w:rFonts w:asciiTheme="minorHAnsi" w:hAnsiTheme="minorHAnsi" w:cstheme="minorHAnsi"/>
          <w:szCs w:val="24"/>
        </w:rPr>
      </w:pPr>
    </w:p>
    <w:p w:rsidR="00665BF7" w:rsidRDefault="00542686" w:rsidP="007D66CE">
      <w:pPr>
        <w:pStyle w:val="Prrafodelista"/>
        <w:numPr>
          <w:ilvl w:val="0"/>
          <w:numId w:val="13"/>
        </w:numPr>
        <w:tabs>
          <w:tab w:val="left" w:pos="284"/>
        </w:tabs>
        <w:spacing w:before="120" w:after="120" w:line="312" w:lineRule="auto"/>
        <w:ind w:left="284"/>
        <w:jc w:val="both"/>
        <w:rPr>
          <w:rFonts w:asciiTheme="minorHAnsi" w:hAnsiTheme="minorHAnsi" w:cstheme="minorHAnsi"/>
          <w:b/>
          <w:szCs w:val="24"/>
        </w:rPr>
      </w:pPr>
      <w:r>
        <w:rPr>
          <w:rFonts w:asciiTheme="minorHAnsi" w:hAnsiTheme="minorHAnsi" w:cstheme="minorHAnsi"/>
          <w:b/>
          <w:szCs w:val="24"/>
        </w:rPr>
        <w:t>Se aceptan las siguientes observaciones:</w:t>
      </w:r>
      <w:r w:rsidR="007D66CE" w:rsidRPr="007D66CE">
        <w:rPr>
          <w:rFonts w:asciiTheme="minorHAnsi" w:hAnsiTheme="minorHAnsi" w:cstheme="minorHAnsi"/>
          <w:b/>
          <w:szCs w:val="24"/>
        </w:rPr>
        <w:t xml:space="preserve"> </w:t>
      </w:r>
    </w:p>
    <w:p w:rsidR="007D66CE" w:rsidRDefault="007D66CE" w:rsidP="007D66CE">
      <w:pPr>
        <w:pStyle w:val="Prrafodelista"/>
        <w:tabs>
          <w:tab w:val="left" w:pos="284"/>
        </w:tabs>
        <w:spacing w:before="120" w:after="120" w:line="312" w:lineRule="auto"/>
        <w:ind w:left="284"/>
        <w:jc w:val="both"/>
        <w:rPr>
          <w:rFonts w:asciiTheme="minorHAnsi" w:hAnsiTheme="minorHAnsi" w:cstheme="minorHAnsi"/>
          <w:b/>
          <w:szCs w:val="24"/>
        </w:rPr>
      </w:pPr>
    </w:p>
    <w:p w:rsidR="005736DF" w:rsidRDefault="005736DF" w:rsidP="005736DF">
      <w:pPr>
        <w:pStyle w:val="Prrafodelista"/>
        <w:numPr>
          <w:ilvl w:val="0"/>
          <w:numId w:val="14"/>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La incorporación de información sobre la normativa general aplicable al gobierno y administración autonómicos. No obstante se recomienda que desde el apartado información institucional se enlace directamente a esta información para facilitar su localización.</w:t>
      </w:r>
    </w:p>
    <w:p w:rsidR="00CA783E" w:rsidRDefault="00CA783E" w:rsidP="00CA783E">
      <w:pPr>
        <w:pStyle w:val="Prrafodelista"/>
        <w:numPr>
          <w:ilvl w:val="0"/>
          <w:numId w:val="14"/>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La actualización de la información relativa a las directrices</w:t>
      </w:r>
      <w:r w:rsidRPr="00CA783E">
        <w:rPr>
          <w:rFonts w:asciiTheme="minorHAnsi" w:hAnsiTheme="minorHAnsi" w:cstheme="minorHAnsi"/>
          <w:szCs w:val="24"/>
        </w:rPr>
        <w:t>, instrucciones, acuerdos, circulares o respuestas a los particulares en la medida en que supongan una interpretación del Derecho o tengan efectos jurídicos</w:t>
      </w:r>
      <w:r>
        <w:rPr>
          <w:rFonts w:asciiTheme="minorHAnsi" w:hAnsiTheme="minorHAnsi" w:cstheme="minorHAnsi"/>
          <w:szCs w:val="24"/>
        </w:rPr>
        <w:t>.</w:t>
      </w:r>
    </w:p>
    <w:p w:rsidR="00A77D21" w:rsidRPr="00A77D21" w:rsidRDefault="00A77D21" w:rsidP="00CA783E">
      <w:pPr>
        <w:pStyle w:val="Prrafodelista"/>
        <w:tabs>
          <w:tab w:val="left" w:pos="284"/>
        </w:tabs>
        <w:spacing w:before="120" w:after="120" w:line="312" w:lineRule="auto"/>
        <w:ind w:left="1004"/>
        <w:jc w:val="both"/>
        <w:rPr>
          <w:rFonts w:asciiTheme="minorHAnsi" w:hAnsiTheme="minorHAnsi" w:cstheme="minorHAnsi"/>
          <w:szCs w:val="24"/>
        </w:rPr>
      </w:pPr>
    </w:p>
    <w:p w:rsidR="005736DF" w:rsidRDefault="005736DF" w:rsidP="007D66CE">
      <w:pPr>
        <w:pStyle w:val="Prrafodelista"/>
        <w:tabs>
          <w:tab w:val="left" w:pos="284"/>
        </w:tabs>
        <w:spacing w:before="120" w:after="120" w:line="312" w:lineRule="auto"/>
        <w:ind w:left="284"/>
        <w:jc w:val="both"/>
        <w:rPr>
          <w:rFonts w:asciiTheme="minorHAnsi" w:hAnsiTheme="minorHAnsi" w:cstheme="minorHAnsi"/>
          <w:szCs w:val="24"/>
        </w:rPr>
      </w:pPr>
    </w:p>
    <w:p w:rsidR="007D66CE" w:rsidRDefault="00A77D21" w:rsidP="007D66CE">
      <w:pPr>
        <w:pStyle w:val="Prrafodelista"/>
        <w:numPr>
          <w:ilvl w:val="0"/>
          <w:numId w:val="13"/>
        </w:numPr>
        <w:tabs>
          <w:tab w:val="left" w:pos="284"/>
        </w:tabs>
        <w:spacing w:before="120" w:after="120" w:line="312" w:lineRule="auto"/>
        <w:ind w:left="284"/>
        <w:jc w:val="both"/>
        <w:rPr>
          <w:rFonts w:asciiTheme="minorHAnsi" w:hAnsiTheme="minorHAnsi" w:cstheme="minorHAnsi"/>
          <w:b/>
          <w:szCs w:val="24"/>
        </w:rPr>
      </w:pPr>
      <w:r>
        <w:rPr>
          <w:rFonts w:asciiTheme="minorHAnsi" w:hAnsiTheme="minorHAnsi" w:cstheme="minorHAnsi"/>
          <w:b/>
          <w:szCs w:val="24"/>
        </w:rPr>
        <w:t>No se aceptan las siguientes observaciones:</w:t>
      </w:r>
    </w:p>
    <w:p w:rsidR="00A558AE" w:rsidRDefault="00A558AE" w:rsidP="00A558AE">
      <w:pPr>
        <w:pStyle w:val="Prrafodelista"/>
        <w:tabs>
          <w:tab w:val="left" w:pos="284"/>
        </w:tabs>
        <w:spacing w:before="120" w:after="120" w:line="312" w:lineRule="auto"/>
        <w:ind w:left="284"/>
        <w:jc w:val="both"/>
        <w:rPr>
          <w:rFonts w:asciiTheme="minorHAnsi" w:hAnsiTheme="minorHAnsi" w:cstheme="minorHAnsi"/>
          <w:b/>
          <w:szCs w:val="24"/>
        </w:rPr>
      </w:pPr>
    </w:p>
    <w:p w:rsidR="00966F95" w:rsidRDefault="00966F95" w:rsidP="00966F95">
      <w:pPr>
        <w:pStyle w:val="Prrafodelista"/>
        <w:numPr>
          <w:ilvl w:val="0"/>
          <w:numId w:val="16"/>
        </w:numPr>
        <w:tabs>
          <w:tab w:val="left" w:pos="284"/>
        </w:tabs>
        <w:spacing w:before="120" w:after="120" w:line="312" w:lineRule="auto"/>
        <w:jc w:val="both"/>
        <w:rPr>
          <w:rFonts w:asciiTheme="minorHAnsi" w:hAnsiTheme="minorHAnsi" w:cstheme="minorHAnsi"/>
          <w:szCs w:val="24"/>
        </w:rPr>
      </w:pPr>
      <w:r w:rsidRPr="00966F95">
        <w:rPr>
          <w:rFonts w:asciiTheme="minorHAnsi" w:hAnsiTheme="minorHAnsi" w:cstheme="minorHAnsi"/>
          <w:szCs w:val="24"/>
        </w:rPr>
        <w:t xml:space="preserve">La incorporación en el Portal de Transparencia de enlaces a las informaciones obligatorias que se publicaban fuera de éste. </w:t>
      </w:r>
      <w:r>
        <w:rPr>
          <w:rFonts w:asciiTheme="minorHAnsi" w:hAnsiTheme="minorHAnsi" w:cstheme="minorHAnsi"/>
          <w:szCs w:val="24"/>
        </w:rPr>
        <w:t>Aunque, como se indica en el informe de observaciones, toda la información del bloque Institucional, Orga</w:t>
      </w:r>
      <w:r w:rsidR="00CA783E">
        <w:rPr>
          <w:rFonts w:asciiTheme="minorHAnsi" w:hAnsiTheme="minorHAnsi" w:cstheme="minorHAnsi"/>
          <w:szCs w:val="24"/>
        </w:rPr>
        <w:t>nizativa y de Planificación está</w:t>
      </w:r>
      <w:r>
        <w:rPr>
          <w:rFonts w:asciiTheme="minorHAnsi" w:hAnsiTheme="minorHAnsi" w:cstheme="minorHAnsi"/>
          <w:szCs w:val="24"/>
        </w:rPr>
        <w:t xml:space="preserve"> publicada o enlazada en el Portal de Transparencia, p</w:t>
      </w:r>
      <w:r w:rsidRPr="00966F95">
        <w:rPr>
          <w:rFonts w:asciiTheme="minorHAnsi" w:hAnsiTheme="minorHAnsi" w:cstheme="minorHAnsi"/>
          <w:szCs w:val="24"/>
        </w:rPr>
        <w:t>arte de las informaciones del bloque de información de</w:t>
      </w:r>
      <w:r>
        <w:rPr>
          <w:rFonts w:asciiTheme="minorHAnsi" w:hAnsiTheme="minorHAnsi" w:cstheme="minorHAnsi"/>
          <w:szCs w:val="24"/>
        </w:rPr>
        <w:t xml:space="preserve"> </w:t>
      </w:r>
      <w:r w:rsidRPr="00966F95">
        <w:rPr>
          <w:rFonts w:asciiTheme="minorHAnsi" w:hAnsiTheme="minorHAnsi" w:cstheme="minorHAnsi"/>
          <w:szCs w:val="24"/>
        </w:rPr>
        <w:t>relevancia jurídica se localiza en el apartado participación ciudadana y por lo tanto fuera del portal de transparencia</w:t>
      </w:r>
      <w:r>
        <w:rPr>
          <w:rFonts w:asciiTheme="minorHAnsi" w:hAnsiTheme="minorHAnsi" w:cstheme="minorHAnsi"/>
          <w:szCs w:val="24"/>
        </w:rPr>
        <w:t>.</w:t>
      </w:r>
    </w:p>
    <w:p w:rsidR="008C3243" w:rsidRDefault="008C3243" w:rsidP="00966F95">
      <w:pPr>
        <w:pStyle w:val="Prrafodelista"/>
        <w:numPr>
          <w:ilvl w:val="0"/>
          <w:numId w:val="16"/>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La información relativa a planes y programas, dado que por una parte no se incluye información de todas las consejerías, los contenidos en muchos casos no se corresponden con planes y programas que establezcan objetivos para las distintas áreas de actuación y finalmente, por la gran desactualización de la información publicada. </w:t>
      </w:r>
    </w:p>
    <w:p w:rsidR="008C3243" w:rsidRPr="00966F95" w:rsidRDefault="008C3243" w:rsidP="00966F95">
      <w:pPr>
        <w:pStyle w:val="Prrafodelista"/>
        <w:numPr>
          <w:ilvl w:val="0"/>
          <w:numId w:val="16"/>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En c</w:t>
      </w:r>
      <w:r w:rsidR="00CA783E">
        <w:rPr>
          <w:rFonts w:asciiTheme="minorHAnsi" w:hAnsiTheme="minorHAnsi" w:cstheme="minorHAnsi"/>
          <w:szCs w:val="24"/>
        </w:rPr>
        <w:t>u</w:t>
      </w:r>
      <w:r>
        <w:rPr>
          <w:rFonts w:asciiTheme="minorHAnsi" w:hAnsiTheme="minorHAnsi" w:cstheme="minorHAnsi"/>
          <w:szCs w:val="24"/>
        </w:rPr>
        <w:t xml:space="preserve">anto a la publicación del seguimiento de los planes y programas, se indica en el informe de alegaciones que no se ha efectuado un seguimiento de éstos. Si este es el caso, debería hacerse constar esta circunstancia expresamente porque es la única manera de conocer si la falta de </w:t>
      </w:r>
      <w:r>
        <w:rPr>
          <w:rFonts w:asciiTheme="minorHAnsi" w:hAnsiTheme="minorHAnsi" w:cstheme="minorHAnsi"/>
          <w:szCs w:val="24"/>
        </w:rPr>
        <w:lastRenderedPageBreak/>
        <w:t>publicación se debe a una omisión de la obligación de publicar o a la inexistencia de actividad respecto de una obligación de información.</w:t>
      </w:r>
    </w:p>
    <w:p w:rsidR="00195D0F" w:rsidRPr="00BF49C8" w:rsidRDefault="00195D0F" w:rsidP="00195D0F">
      <w:pPr>
        <w:pStyle w:val="Prrafodelista"/>
        <w:numPr>
          <w:ilvl w:val="0"/>
          <w:numId w:val="15"/>
        </w:numPr>
        <w:spacing w:before="120" w:after="120" w:line="312" w:lineRule="auto"/>
        <w:jc w:val="both"/>
        <w:rPr>
          <w:rFonts w:asciiTheme="minorHAnsi" w:hAnsiTheme="minorHAnsi" w:cstheme="minorHAnsi"/>
          <w:szCs w:val="24"/>
        </w:rPr>
      </w:pPr>
      <w:r w:rsidRPr="00BF49C8">
        <w:rPr>
          <w:rFonts w:asciiTheme="minorHAnsi" w:hAnsiTheme="minorHAnsi" w:cstheme="minorHAnsi"/>
          <w:szCs w:val="24"/>
        </w:rPr>
        <w:t xml:space="preserve">En relación con el Registro de </w:t>
      </w:r>
      <w:r w:rsidR="00CE7553" w:rsidRPr="00BF49C8">
        <w:rPr>
          <w:rFonts w:asciiTheme="minorHAnsi" w:hAnsiTheme="minorHAnsi" w:cstheme="minorHAnsi"/>
          <w:szCs w:val="24"/>
        </w:rPr>
        <w:t>A</w:t>
      </w:r>
      <w:r w:rsidRPr="00BF49C8">
        <w:rPr>
          <w:rFonts w:asciiTheme="minorHAnsi" w:hAnsiTheme="minorHAnsi" w:cstheme="minorHAnsi"/>
          <w:szCs w:val="24"/>
        </w:rPr>
        <w:t xml:space="preserve">ctividades de </w:t>
      </w:r>
      <w:r w:rsidR="00CE7553" w:rsidRPr="00BF49C8">
        <w:rPr>
          <w:rFonts w:asciiTheme="minorHAnsi" w:hAnsiTheme="minorHAnsi" w:cstheme="minorHAnsi"/>
          <w:szCs w:val="24"/>
        </w:rPr>
        <w:t>T</w:t>
      </w:r>
      <w:r w:rsidRPr="00BF49C8">
        <w:rPr>
          <w:rFonts w:asciiTheme="minorHAnsi" w:hAnsiTheme="minorHAnsi" w:cstheme="minorHAnsi"/>
          <w:szCs w:val="24"/>
        </w:rPr>
        <w:t>ratamiento, se indica en las observaciones que</w:t>
      </w:r>
      <w:r w:rsidRPr="00BF49C8">
        <w:t xml:space="preserve"> </w:t>
      </w:r>
      <w:r w:rsidRPr="00BF49C8">
        <w:rPr>
          <w:rFonts w:asciiTheme="minorHAnsi" w:hAnsiTheme="minorHAnsi" w:cstheme="minorHAnsi"/>
          <w:szCs w:val="24"/>
        </w:rPr>
        <w:t xml:space="preserve">se encuentra publicado en “Seguridad y Protección de datos”, menú derecho “Registro de Actividades de Tratamiento”. Sin embargo,  no se publican los correspondientes a </w:t>
      </w:r>
      <w:r w:rsidR="00BF49C8" w:rsidRPr="00BF49C8">
        <w:rPr>
          <w:rFonts w:asciiTheme="minorHAnsi" w:hAnsiTheme="minorHAnsi" w:cstheme="minorHAnsi"/>
          <w:szCs w:val="24"/>
        </w:rPr>
        <w:t>todas las Consejerías. De hecho sólo se publican los correspondientes a la Vicepresidencia Primera, Consejería de Agricultura, Desarrollo Rural, Población y Territorio y a la Consejería de Educación y Empleo.</w:t>
      </w:r>
    </w:p>
    <w:p w:rsidR="00966F95" w:rsidRDefault="00A77D21" w:rsidP="008C3243">
      <w:pPr>
        <w:pStyle w:val="Prrafodelista"/>
        <w:numPr>
          <w:ilvl w:val="0"/>
          <w:numId w:val="15"/>
        </w:numPr>
        <w:spacing w:before="120" w:after="120" w:line="312" w:lineRule="auto"/>
        <w:ind w:left="709"/>
        <w:jc w:val="both"/>
        <w:rPr>
          <w:rFonts w:asciiTheme="minorHAnsi" w:hAnsiTheme="minorHAnsi" w:cstheme="minorHAnsi"/>
          <w:szCs w:val="24"/>
        </w:rPr>
      </w:pPr>
      <w:r w:rsidRPr="00966F95">
        <w:rPr>
          <w:rFonts w:asciiTheme="minorHAnsi" w:hAnsiTheme="minorHAnsi" w:cstheme="minorHAnsi"/>
          <w:szCs w:val="24"/>
        </w:rPr>
        <w:t xml:space="preserve">La publicación de los proyectos normativos. Durante el proceso de revisión y tal y como se indica en el informe provisional de evaluación se constató que en aquel momento la información publicada estaba desactualizada y </w:t>
      </w:r>
      <w:r w:rsidR="00966F95" w:rsidRPr="00966F95">
        <w:rPr>
          <w:rFonts w:asciiTheme="minorHAnsi" w:hAnsiTheme="minorHAnsi" w:cstheme="minorHAnsi"/>
          <w:szCs w:val="24"/>
        </w:rPr>
        <w:t>que no se enlazaba a los textos de las normas ni se publicaban</w:t>
      </w:r>
      <w:r w:rsidR="00CA783E">
        <w:rPr>
          <w:rFonts w:asciiTheme="minorHAnsi" w:hAnsiTheme="minorHAnsi" w:cstheme="minorHAnsi"/>
          <w:szCs w:val="24"/>
        </w:rPr>
        <w:t xml:space="preserve"> en todos los casos </w:t>
      </w:r>
      <w:r w:rsidR="00966F95" w:rsidRPr="00966F95">
        <w:rPr>
          <w:rFonts w:asciiTheme="minorHAnsi" w:hAnsiTheme="minorHAnsi" w:cstheme="minorHAnsi"/>
          <w:szCs w:val="24"/>
        </w:rPr>
        <w:t>las memorias correspondientes. El alcance temporal de la evaluación se extiende hasta el momento en que se efectúa la evaluación del Portal, por</w:t>
      </w:r>
      <w:r w:rsidR="00BE2068">
        <w:rPr>
          <w:rFonts w:asciiTheme="minorHAnsi" w:hAnsiTheme="minorHAnsi" w:cstheme="minorHAnsi"/>
          <w:szCs w:val="24"/>
        </w:rPr>
        <w:t xml:space="preserve"> </w:t>
      </w:r>
      <w:r w:rsidR="00966F95" w:rsidRPr="00966F95">
        <w:rPr>
          <w:rFonts w:asciiTheme="minorHAnsi" w:hAnsiTheme="minorHAnsi" w:cstheme="minorHAnsi"/>
          <w:szCs w:val="24"/>
        </w:rPr>
        <w:t xml:space="preserve">lo que todas aquellas mejoras que hayan podido introducirse durante el periodo de alegaciones no pueden ser tenidas en cuenta para revisar el nivel de cumplimiento alcanzado.    </w:t>
      </w:r>
    </w:p>
    <w:p w:rsidR="00BE2068" w:rsidRDefault="00BE2068" w:rsidP="008C3243">
      <w:pPr>
        <w:pStyle w:val="Prrafodelista"/>
        <w:numPr>
          <w:ilvl w:val="0"/>
          <w:numId w:val="15"/>
        </w:numPr>
        <w:spacing w:before="120" w:after="120" w:line="312" w:lineRule="auto"/>
        <w:ind w:left="709"/>
        <w:jc w:val="both"/>
        <w:rPr>
          <w:rFonts w:asciiTheme="minorHAnsi" w:hAnsiTheme="minorHAnsi" w:cstheme="minorHAnsi"/>
          <w:szCs w:val="24"/>
        </w:rPr>
      </w:pPr>
      <w:r>
        <w:rPr>
          <w:rFonts w:asciiTheme="minorHAnsi" w:hAnsiTheme="minorHAnsi" w:cstheme="minorHAnsi"/>
          <w:szCs w:val="24"/>
        </w:rPr>
        <w:t>La incorporación de las memorias y demás informes que acompa</w:t>
      </w:r>
      <w:r w:rsidR="00BF49C8">
        <w:rPr>
          <w:rFonts w:asciiTheme="minorHAnsi" w:hAnsiTheme="minorHAnsi" w:cstheme="minorHAnsi"/>
          <w:szCs w:val="24"/>
        </w:rPr>
        <w:t>ñan a los proyectos normativos. T</w:t>
      </w:r>
      <w:r>
        <w:rPr>
          <w:rFonts w:asciiTheme="minorHAnsi" w:hAnsiTheme="minorHAnsi" w:cstheme="minorHAnsi"/>
          <w:szCs w:val="24"/>
        </w:rPr>
        <w:t>al y como se indica en el informe de alegaciones</w:t>
      </w:r>
      <w:r w:rsidR="00BF49C8">
        <w:rPr>
          <w:rFonts w:asciiTheme="minorHAnsi" w:hAnsiTheme="minorHAnsi" w:cstheme="minorHAnsi"/>
          <w:szCs w:val="24"/>
        </w:rPr>
        <w:t>,</w:t>
      </w:r>
      <w:r>
        <w:rPr>
          <w:rFonts w:asciiTheme="minorHAnsi" w:hAnsiTheme="minorHAnsi" w:cstheme="minorHAnsi"/>
          <w:szCs w:val="24"/>
        </w:rPr>
        <w:t xml:space="preserve"> se ha </w:t>
      </w:r>
      <w:r w:rsidR="005F7047">
        <w:rPr>
          <w:rFonts w:asciiTheme="minorHAnsi" w:hAnsiTheme="minorHAnsi" w:cstheme="minorHAnsi"/>
          <w:szCs w:val="24"/>
        </w:rPr>
        <w:t>solicitado</w:t>
      </w:r>
      <w:r>
        <w:rPr>
          <w:rFonts w:asciiTheme="minorHAnsi" w:hAnsiTheme="minorHAnsi" w:cstheme="minorHAnsi"/>
          <w:szCs w:val="24"/>
        </w:rPr>
        <w:t xml:space="preserve"> a las Consejerías que no los habían aportado  </w:t>
      </w:r>
      <w:r w:rsidR="005F7047">
        <w:rPr>
          <w:rFonts w:asciiTheme="minorHAnsi" w:hAnsiTheme="minorHAnsi" w:cstheme="minorHAnsi"/>
          <w:szCs w:val="24"/>
        </w:rPr>
        <w:t>su remisión para su publicación junto al proyecto de norma correspondiente.</w:t>
      </w:r>
    </w:p>
    <w:p w:rsidR="005F7047" w:rsidRDefault="005F7047" w:rsidP="008C3243">
      <w:pPr>
        <w:pStyle w:val="Prrafodelista"/>
        <w:numPr>
          <w:ilvl w:val="0"/>
          <w:numId w:val="15"/>
        </w:numPr>
        <w:spacing w:before="120" w:after="120" w:line="312" w:lineRule="auto"/>
        <w:ind w:left="709"/>
        <w:jc w:val="both"/>
        <w:rPr>
          <w:rFonts w:asciiTheme="minorHAnsi" w:hAnsiTheme="minorHAnsi" w:cstheme="minorHAnsi"/>
          <w:szCs w:val="24"/>
        </w:rPr>
      </w:pPr>
      <w:r>
        <w:rPr>
          <w:rFonts w:asciiTheme="minorHAnsi" w:hAnsiTheme="minorHAnsi" w:cstheme="minorHAnsi"/>
          <w:szCs w:val="24"/>
        </w:rPr>
        <w:t>La actualización del enlace a la información estadística de contratación, dado que dicha actualización se ha efectuado durante el periodo de alegaciones.</w:t>
      </w:r>
    </w:p>
    <w:p w:rsidR="004502AA" w:rsidRDefault="00D5014C" w:rsidP="008C3243">
      <w:pPr>
        <w:pStyle w:val="Prrafodelista"/>
        <w:numPr>
          <w:ilvl w:val="0"/>
          <w:numId w:val="15"/>
        </w:numPr>
        <w:spacing w:before="120" w:after="120" w:line="312" w:lineRule="auto"/>
        <w:ind w:left="709"/>
        <w:jc w:val="both"/>
        <w:rPr>
          <w:rFonts w:asciiTheme="minorHAnsi" w:hAnsiTheme="minorHAnsi" w:cstheme="minorHAnsi"/>
          <w:szCs w:val="24"/>
        </w:rPr>
      </w:pPr>
      <w:r w:rsidRPr="004502AA">
        <w:rPr>
          <w:rFonts w:asciiTheme="minorHAnsi" w:hAnsiTheme="minorHAnsi" w:cstheme="minorHAnsi"/>
          <w:szCs w:val="24"/>
        </w:rPr>
        <w:t xml:space="preserve">La actualización de la información relativa a las autorizaciones para el ejercicio de actividades privadas al cese de altos cargos. </w:t>
      </w:r>
      <w:r w:rsidR="004502AA" w:rsidRPr="004502AA">
        <w:rPr>
          <w:rFonts w:asciiTheme="minorHAnsi" w:hAnsiTheme="minorHAnsi" w:cstheme="minorHAnsi"/>
          <w:szCs w:val="24"/>
        </w:rPr>
        <w:t xml:space="preserve">En el informe de alegaciones se indica que no han existido solicitudes actualizadas de autorización. Como se ha </w:t>
      </w:r>
      <w:r w:rsidR="004502AA">
        <w:rPr>
          <w:rFonts w:asciiTheme="minorHAnsi" w:hAnsiTheme="minorHAnsi" w:cstheme="minorHAnsi"/>
          <w:szCs w:val="24"/>
        </w:rPr>
        <w:t xml:space="preserve">señalado, la única manera de conocer si la falta de publicación de una información obligatoria se debe a una omisión de la obligación de publicar o a la falta de actividad en ese ámbito concreto es que se indique expresamente. </w:t>
      </w:r>
    </w:p>
    <w:p w:rsidR="005F7047" w:rsidRDefault="005F7047" w:rsidP="008C3243">
      <w:pPr>
        <w:pStyle w:val="Prrafodelista"/>
        <w:numPr>
          <w:ilvl w:val="0"/>
          <w:numId w:val="15"/>
        </w:numPr>
        <w:spacing w:before="120" w:after="120" w:line="312" w:lineRule="auto"/>
        <w:ind w:left="709"/>
        <w:jc w:val="both"/>
        <w:rPr>
          <w:rFonts w:asciiTheme="minorHAnsi" w:hAnsiTheme="minorHAnsi" w:cstheme="minorHAnsi"/>
          <w:szCs w:val="24"/>
        </w:rPr>
      </w:pPr>
      <w:r w:rsidRPr="004502AA">
        <w:rPr>
          <w:rFonts w:asciiTheme="minorHAnsi" w:hAnsiTheme="minorHAnsi" w:cstheme="minorHAnsi"/>
          <w:szCs w:val="24"/>
        </w:rPr>
        <w:t xml:space="preserve">La publicación de información sobre </w:t>
      </w:r>
      <w:r w:rsidR="00D5014C" w:rsidRPr="004502AA">
        <w:rPr>
          <w:rFonts w:asciiTheme="minorHAnsi" w:hAnsiTheme="minorHAnsi" w:cstheme="minorHAnsi"/>
          <w:szCs w:val="24"/>
        </w:rPr>
        <w:t>l</w:t>
      </w:r>
      <w:r w:rsidRPr="004502AA">
        <w:rPr>
          <w:rFonts w:asciiTheme="minorHAnsi" w:hAnsiTheme="minorHAnsi" w:cstheme="minorHAnsi"/>
          <w:szCs w:val="24"/>
        </w:rPr>
        <w:t xml:space="preserve">as indemnizaciones percibidas por altos cargos con ocasión del cese. </w:t>
      </w:r>
      <w:r w:rsidR="00D5014C" w:rsidRPr="004502AA">
        <w:rPr>
          <w:rFonts w:asciiTheme="minorHAnsi" w:hAnsiTheme="minorHAnsi" w:cstheme="minorHAnsi"/>
          <w:szCs w:val="24"/>
        </w:rPr>
        <w:t xml:space="preserve">La información publicada se refiere exclusivamente a la regulación de las indemnizaciones para el personal directivo con contrato de alta dirección y no se ofrece información sobre la cuantía de las eventuales indemnizaciones que hayan podido percibirse. </w:t>
      </w:r>
    </w:p>
    <w:p w:rsidR="00056323" w:rsidRPr="004502AA" w:rsidRDefault="00056323" w:rsidP="008C3243">
      <w:pPr>
        <w:pStyle w:val="Prrafodelista"/>
        <w:numPr>
          <w:ilvl w:val="0"/>
          <w:numId w:val="15"/>
        </w:numPr>
        <w:spacing w:before="120" w:after="120" w:line="312" w:lineRule="auto"/>
        <w:ind w:left="709"/>
        <w:jc w:val="both"/>
        <w:rPr>
          <w:rFonts w:asciiTheme="minorHAnsi" w:hAnsiTheme="minorHAnsi" w:cstheme="minorHAnsi"/>
          <w:szCs w:val="24"/>
        </w:rPr>
      </w:pPr>
      <w:r>
        <w:rPr>
          <w:rFonts w:asciiTheme="minorHAnsi" w:hAnsiTheme="minorHAnsi" w:cstheme="minorHAnsi"/>
          <w:szCs w:val="24"/>
        </w:rPr>
        <w:t>La publicación de información estadística sobre el grado de cumplimiento y calidad de los servicios. La información de seguimiento del cumplimiento de los compromisos de las Cartas de Servicios que se señala en el informe de alegaciones, se refiere para el año 2020 – existen 3 informes adicionales para los años 2018 y 2019 relativos a las mismas Cartas – a 3 Cartas de Servicios de las 39 publicadas.</w:t>
      </w:r>
    </w:p>
    <w:p w:rsidR="001B0504" w:rsidRPr="00A558AE" w:rsidRDefault="001B0504" w:rsidP="00A558AE">
      <w:pPr>
        <w:pStyle w:val="Prrafodelista"/>
        <w:tabs>
          <w:tab w:val="left" w:pos="284"/>
        </w:tabs>
        <w:spacing w:before="120" w:after="120" w:line="312" w:lineRule="auto"/>
        <w:ind w:left="284"/>
        <w:jc w:val="both"/>
        <w:rPr>
          <w:rFonts w:asciiTheme="minorHAnsi" w:hAnsiTheme="minorHAnsi" w:cstheme="minorHAnsi"/>
          <w:szCs w:val="24"/>
        </w:rPr>
      </w:pPr>
    </w:p>
    <w:p w:rsidR="004C4FFC" w:rsidRDefault="004C4FFC" w:rsidP="00EC2804">
      <w:pPr>
        <w:tabs>
          <w:tab w:val="left" w:pos="284"/>
        </w:tabs>
        <w:spacing w:before="120" w:after="120" w:line="312" w:lineRule="auto"/>
        <w:jc w:val="both"/>
        <w:rPr>
          <w:rFonts w:asciiTheme="minorHAnsi" w:hAnsiTheme="minorHAnsi" w:cstheme="minorHAnsi"/>
          <w:szCs w:val="24"/>
        </w:rPr>
      </w:pPr>
    </w:p>
    <w:p w:rsidR="00244DD8" w:rsidRDefault="00244DD8" w:rsidP="00EC2804">
      <w:p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lastRenderedPageBreak/>
        <w:t xml:space="preserve">Tras la revisión efectuada el Índice de Cumplimiento de la Información Obligatoria se sitúa en el </w:t>
      </w:r>
      <w:r w:rsidR="00CA783E">
        <w:rPr>
          <w:rFonts w:asciiTheme="minorHAnsi" w:hAnsiTheme="minorHAnsi" w:cstheme="minorHAnsi"/>
          <w:szCs w:val="24"/>
        </w:rPr>
        <w:t>69,9</w:t>
      </w:r>
      <w:r>
        <w:rPr>
          <w:rFonts w:asciiTheme="minorHAnsi" w:hAnsiTheme="minorHAnsi" w:cstheme="minorHAnsi"/>
          <w:szCs w:val="24"/>
        </w:rPr>
        <w:t>%</w:t>
      </w:r>
      <w:r w:rsidR="004C4FFC">
        <w:rPr>
          <w:rFonts w:asciiTheme="minorHAnsi" w:hAnsiTheme="minorHAnsi" w:cstheme="minorHAnsi"/>
          <w:szCs w:val="24"/>
        </w:rPr>
        <w:t>.</w:t>
      </w:r>
    </w:p>
    <w:p w:rsidR="00CA783E" w:rsidRDefault="00CA783E" w:rsidP="00EC2804">
      <w:p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Este Consejo valora muy positivamente la disposición de la Comunidad Autónoma de Extremadura a aplicar las recomendaciones efectuadas</w:t>
      </w:r>
      <w:r w:rsidR="0099043A">
        <w:rPr>
          <w:rFonts w:asciiTheme="minorHAnsi" w:hAnsiTheme="minorHAnsi" w:cstheme="minorHAnsi"/>
          <w:szCs w:val="24"/>
        </w:rPr>
        <w:t xml:space="preserve"> -</w:t>
      </w:r>
      <w:r>
        <w:rPr>
          <w:rFonts w:asciiTheme="minorHAnsi" w:hAnsiTheme="minorHAnsi" w:cstheme="minorHAnsi"/>
          <w:szCs w:val="24"/>
        </w:rPr>
        <w:t xml:space="preserve"> de hecho algunas de ellas se han implementado durante </w:t>
      </w:r>
      <w:r w:rsidR="0099043A">
        <w:rPr>
          <w:rFonts w:asciiTheme="minorHAnsi" w:hAnsiTheme="minorHAnsi" w:cstheme="minorHAnsi"/>
          <w:szCs w:val="24"/>
        </w:rPr>
        <w:t>el periodo de alegaciones – lo que sin duda redundará en la consecución de</w:t>
      </w:r>
      <w:r w:rsidR="00BF49C8">
        <w:rPr>
          <w:rFonts w:asciiTheme="minorHAnsi" w:hAnsiTheme="minorHAnsi" w:cstheme="minorHAnsi"/>
          <w:szCs w:val="24"/>
        </w:rPr>
        <w:t xml:space="preserve"> un</w:t>
      </w:r>
      <w:r w:rsidR="0099043A">
        <w:rPr>
          <w:rFonts w:asciiTheme="minorHAnsi" w:hAnsiTheme="minorHAnsi" w:cstheme="minorHAnsi"/>
          <w:szCs w:val="24"/>
        </w:rPr>
        <w:t xml:space="preserve"> </w:t>
      </w:r>
      <w:r>
        <w:rPr>
          <w:rFonts w:asciiTheme="minorHAnsi" w:hAnsiTheme="minorHAnsi" w:cstheme="minorHAnsi"/>
          <w:szCs w:val="24"/>
        </w:rPr>
        <w:t xml:space="preserve"> </w:t>
      </w:r>
      <w:r w:rsidR="0099043A">
        <w:rPr>
          <w:rFonts w:asciiTheme="minorHAnsi" w:hAnsiTheme="minorHAnsi" w:cstheme="minorHAnsi"/>
          <w:szCs w:val="24"/>
        </w:rPr>
        <w:t xml:space="preserve">Índice de Cumplimiento más elevado. </w:t>
      </w:r>
    </w:p>
    <w:p w:rsidR="00244DD8" w:rsidRPr="00EC2804" w:rsidRDefault="00244DD8" w:rsidP="00EC2804">
      <w:pPr>
        <w:tabs>
          <w:tab w:val="left" w:pos="284"/>
        </w:tabs>
        <w:spacing w:before="120" w:after="120" w:line="312" w:lineRule="auto"/>
        <w:jc w:val="both"/>
        <w:rPr>
          <w:rFonts w:asciiTheme="minorHAnsi" w:hAnsiTheme="minorHAnsi" w:cstheme="minorHAnsi"/>
          <w:szCs w:val="24"/>
        </w:rPr>
      </w:pPr>
      <w:bookmarkStart w:id="0" w:name="_GoBack"/>
      <w:bookmarkEnd w:id="0"/>
    </w:p>
    <w:p w:rsidR="00AF2582" w:rsidRDefault="00AF2582" w:rsidP="00AF2582">
      <w:pPr>
        <w:pStyle w:val="Prrafodelista"/>
        <w:tabs>
          <w:tab w:val="left" w:pos="284"/>
        </w:tabs>
        <w:spacing w:before="120" w:after="120" w:line="312" w:lineRule="auto"/>
        <w:jc w:val="both"/>
        <w:rPr>
          <w:rFonts w:asciiTheme="minorHAnsi" w:hAnsiTheme="minorHAnsi" w:cstheme="minorHAnsi"/>
          <w:b/>
          <w:szCs w:val="24"/>
        </w:rPr>
      </w:pPr>
    </w:p>
    <w:p w:rsidR="006F17B5" w:rsidRPr="002C000A" w:rsidRDefault="006F17B5" w:rsidP="009557B1">
      <w:pPr>
        <w:autoSpaceDE w:val="0"/>
        <w:autoSpaceDN w:val="0"/>
        <w:adjustRightInd w:val="0"/>
        <w:spacing w:after="0"/>
        <w:jc w:val="right"/>
        <w:rPr>
          <w:szCs w:val="24"/>
        </w:rPr>
      </w:pPr>
      <w:r w:rsidRPr="002C000A">
        <w:rPr>
          <w:rFonts w:asciiTheme="minorHAnsi" w:hAnsiTheme="minorHAnsi" w:cstheme="minorHAnsi"/>
          <w:szCs w:val="24"/>
        </w:rPr>
        <w:t xml:space="preserve">Madrid, </w:t>
      </w:r>
      <w:r w:rsidR="0086421B">
        <w:rPr>
          <w:rFonts w:asciiTheme="minorHAnsi" w:hAnsiTheme="minorHAnsi" w:cstheme="minorHAnsi"/>
          <w:szCs w:val="24"/>
        </w:rPr>
        <w:t>enero</w:t>
      </w:r>
      <w:r w:rsidRPr="002C000A">
        <w:rPr>
          <w:rFonts w:asciiTheme="minorHAnsi" w:hAnsiTheme="minorHAnsi" w:cstheme="minorHAnsi"/>
          <w:szCs w:val="24"/>
        </w:rPr>
        <w:t xml:space="preserve"> de 202</w:t>
      </w:r>
      <w:r w:rsidR="0086421B">
        <w:rPr>
          <w:rFonts w:asciiTheme="minorHAnsi" w:hAnsiTheme="minorHAnsi" w:cstheme="minorHAnsi"/>
          <w:szCs w:val="24"/>
        </w:rPr>
        <w:t>2</w:t>
      </w:r>
    </w:p>
    <w:sectPr w:rsidR="006F17B5" w:rsidRPr="002C000A" w:rsidSect="009E16B5">
      <w:headerReference w:type="default" r:id="rId8"/>
      <w:footerReference w:type="default" r:id="rId9"/>
      <w:headerReference w:type="first" r:id="rId10"/>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08F" w:rsidRDefault="0078508F" w:rsidP="00344FE7">
      <w:pPr>
        <w:spacing w:after="0" w:line="240" w:lineRule="auto"/>
      </w:pPr>
      <w:r>
        <w:separator/>
      </w:r>
    </w:p>
  </w:endnote>
  <w:endnote w:type="continuationSeparator" w:id="0">
    <w:p w:rsidR="0078508F" w:rsidRDefault="0078508F"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30167"/>
      <w:docPartObj>
        <w:docPartGallery w:val="Page Numbers (Bottom of Page)"/>
        <w:docPartUnique/>
      </w:docPartObj>
    </w:sdtPr>
    <w:sdtEndPr>
      <w:rPr>
        <w:sz w:val="20"/>
        <w:szCs w:val="20"/>
      </w:rPr>
    </w:sdtEndPr>
    <w:sdtContent>
      <w:p w:rsidR="00CA783E" w:rsidRPr="00C23F36" w:rsidRDefault="00CA783E"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BF49C8">
          <w:rPr>
            <w:noProof/>
            <w:sz w:val="20"/>
            <w:szCs w:val="20"/>
          </w:rPr>
          <w:t>3</w:t>
        </w:r>
        <w:r w:rsidRPr="00C23F3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08F" w:rsidRDefault="0078508F" w:rsidP="00344FE7">
      <w:pPr>
        <w:spacing w:after="0" w:line="240" w:lineRule="auto"/>
      </w:pPr>
      <w:r>
        <w:separator/>
      </w:r>
    </w:p>
  </w:footnote>
  <w:footnote w:type="continuationSeparator" w:id="0">
    <w:p w:rsidR="0078508F" w:rsidRDefault="0078508F" w:rsidP="00344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83E" w:rsidRDefault="00CA783E">
    <w:pPr>
      <w:pStyle w:val="Encabezado"/>
    </w:pPr>
    <w:r>
      <w:rPr>
        <w:noProof/>
        <w:lang w:eastAsia="es-ES"/>
      </w:rPr>
      <w:drawing>
        <wp:anchor distT="0" distB="0" distL="0" distR="0" simplePos="0" relativeHeight="251670528" behindDoc="0" locked="0" layoutInCell="1" allowOverlap="0" wp14:anchorId="637F25F9" wp14:editId="1FE0AF88">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rsidR="00CA783E" w:rsidRDefault="00CA783E">
    <w:pPr>
      <w:pStyle w:val="Encabezado"/>
    </w:pPr>
  </w:p>
  <w:p w:rsidR="00CA783E" w:rsidRDefault="00CA783E" w:rsidP="00344FE7">
    <w:pPr>
      <w:pStyle w:val="Encabezado"/>
    </w:pPr>
  </w:p>
  <w:p w:rsidR="00CA783E" w:rsidRDefault="00CA783E" w:rsidP="00344FE7">
    <w:pPr>
      <w:pStyle w:val="Encabezado"/>
    </w:pPr>
  </w:p>
  <w:p w:rsidR="00CA783E" w:rsidRDefault="00CA783E" w:rsidP="00344F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83E" w:rsidRDefault="00CA783E" w:rsidP="006F5890">
    <w:pPr>
      <w:jc w:val="right"/>
      <w:rPr>
        <w:noProof/>
        <w:lang w:eastAsia="es-ES"/>
      </w:rPr>
    </w:pPr>
    <w:r>
      <w:rPr>
        <w:noProof/>
        <w:lang w:eastAsia="es-ES"/>
      </w:rPr>
      <w:drawing>
        <wp:anchor distT="0" distB="0" distL="0" distR="0" simplePos="0" relativeHeight="251668480" behindDoc="0" locked="0" layoutInCell="1" allowOverlap="0" wp14:anchorId="09BAAF01" wp14:editId="59D86E7C">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14:anchorId="5F1382EE" wp14:editId="0A92D648">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style="width:11.25pt;height:11.25pt" o:bullet="t">
        <v:imagedata r:id="rId1" o:title="BD14529_"/>
      </v:shape>
    </w:pict>
  </w:numPicBullet>
  <w:abstractNum w:abstractNumId="0">
    <w:nsid w:val="02A222DE"/>
    <w:multiLevelType w:val="hybridMultilevel"/>
    <w:tmpl w:val="BDB441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52E71E7"/>
    <w:multiLevelType w:val="hybridMultilevel"/>
    <w:tmpl w:val="FDCADDE0"/>
    <w:lvl w:ilvl="0" w:tplc="AA644D84">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08025478"/>
    <w:multiLevelType w:val="hybridMultilevel"/>
    <w:tmpl w:val="0B4E1BE4"/>
    <w:lvl w:ilvl="0" w:tplc="C572239A">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DC70A71"/>
    <w:multiLevelType w:val="hybridMultilevel"/>
    <w:tmpl w:val="09DA4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6A71C05"/>
    <w:multiLevelType w:val="hybridMultilevel"/>
    <w:tmpl w:val="B0F40B7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A9F4ACC"/>
    <w:multiLevelType w:val="hybridMultilevel"/>
    <w:tmpl w:val="ACA4A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nsid w:val="3F196B16"/>
    <w:multiLevelType w:val="hybridMultilevel"/>
    <w:tmpl w:val="1F80C4B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8DD5AB9"/>
    <w:multiLevelType w:val="hybridMultilevel"/>
    <w:tmpl w:val="862E1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nsid w:val="59D76718"/>
    <w:multiLevelType w:val="hybridMultilevel"/>
    <w:tmpl w:val="B0E4967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2">
    <w:nsid w:val="5A5A6B9E"/>
    <w:multiLevelType w:val="hybridMultilevel"/>
    <w:tmpl w:val="AC7229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684F6B2D"/>
    <w:multiLevelType w:val="hybridMultilevel"/>
    <w:tmpl w:val="F8BAAD1C"/>
    <w:lvl w:ilvl="0" w:tplc="0C0A0001">
      <w:start w:val="1"/>
      <w:numFmt w:val="bullet"/>
      <w:lvlText w:val=""/>
      <w:lvlJc w:val="left"/>
      <w:pPr>
        <w:ind w:left="773" w:hanging="360"/>
      </w:pPr>
      <w:rPr>
        <w:rFonts w:ascii="Symbol" w:hAnsi="Symbol" w:hint="default"/>
      </w:rPr>
    </w:lvl>
    <w:lvl w:ilvl="1" w:tplc="0C0A0003">
      <w:start w:val="1"/>
      <w:numFmt w:val="bullet"/>
      <w:lvlText w:val="o"/>
      <w:lvlJc w:val="left"/>
      <w:pPr>
        <w:ind w:left="1493" w:hanging="360"/>
      </w:pPr>
      <w:rPr>
        <w:rFonts w:ascii="Courier New" w:hAnsi="Courier New" w:cs="Courier New" w:hint="default"/>
      </w:rPr>
    </w:lvl>
    <w:lvl w:ilvl="2" w:tplc="0C0A0005">
      <w:start w:val="1"/>
      <w:numFmt w:val="bullet"/>
      <w:lvlText w:val=""/>
      <w:lvlJc w:val="left"/>
      <w:pPr>
        <w:ind w:left="2213" w:hanging="360"/>
      </w:pPr>
      <w:rPr>
        <w:rFonts w:ascii="Wingdings" w:hAnsi="Wingdings" w:hint="default"/>
      </w:rPr>
    </w:lvl>
    <w:lvl w:ilvl="3" w:tplc="0C0A0001">
      <w:start w:val="1"/>
      <w:numFmt w:val="bullet"/>
      <w:lvlText w:val=""/>
      <w:lvlJc w:val="left"/>
      <w:pPr>
        <w:ind w:left="2933" w:hanging="360"/>
      </w:pPr>
      <w:rPr>
        <w:rFonts w:ascii="Symbol" w:hAnsi="Symbol" w:hint="default"/>
      </w:rPr>
    </w:lvl>
    <w:lvl w:ilvl="4" w:tplc="0C0A0003">
      <w:start w:val="1"/>
      <w:numFmt w:val="bullet"/>
      <w:lvlText w:val="o"/>
      <w:lvlJc w:val="left"/>
      <w:pPr>
        <w:ind w:left="3653" w:hanging="360"/>
      </w:pPr>
      <w:rPr>
        <w:rFonts w:ascii="Courier New" w:hAnsi="Courier New" w:cs="Courier New" w:hint="default"/>
      </w:rPr>
    </w:lvl>
    <w:lvl w:ilvl="5" w:tplc="0C0A0005">
      <w:start w:val="1"/>
      <w:numFmt w:val="bullet"/>
      <w:lvlText w:val=""/>
      <w:lvlJc w:val="left"/>
      <w:pPr>
        <w:ind w:left="4373" w:hanging="360"/>
      </w:pPr>
      <w:rPr>
        <w:rFonts w:ascii="Wingdings" w:hAnsi="Wingdings" w:hint="default"/>
      </w:rPr>
    </w:lvl>
    <w:lvl w:ilvl="6" w:tplc="0C0A0001">
      <w:start w:val="1"/>
      <w:numFmt w:val="bullet"/>
      <w:lvlText w:val=""/>
      <w:lvlJc w:val="left"/>
      <w:pPr>
        <w:ind w:left="5093" w:hanging="360"/>
      </w:pPr>
      <w:rPr>
        <w:rFonts w:ascii="Symbol" w:hAnsi="Symbol" w:hint="default"/>
      </w:rPr>
    </w:lvl>
    <w:lvl w:ilvl="7" w:tplc="0C0A0003">
      <w:start w:val="1"/>
      <w:numFmt w:val="bullet"/>
      <w:lvlText w:val="o"/>
      <w:lvlJc w:val="left"/>
      <w:pPr>
        <w:ind w:left="5813" w:hanging="360"/>
      </w:pPr>
      <w:rPr>
        <w:rFonts w:ascii="Courier New" w:hAnsi="Courier New" w:cs="Courier New" w:hint="default"/>
      </w:rPr>
    </w:lvl>
    <w:lvl w:ilvl="8" w:tplc="0C0A0005">
      <w:start w:val="1"/>
      <w:numFmt w:val="bullet"/>
      <w:lvlText w:val=""/>
      <w:lvlJc w:val="left"/>
      <w:pPr>
        <w:ind w:left="6533" w:hanging="360"/>
      </w:pPr>
      <w:rPr>
        <w:rFonts w:ascii="Wingdings" w:hAnsi="Wingdings" w:hint="default"/>
      </w:rPr>
    </w:lvl>
  </w:abstractNum>
  <w:abstractNum w:abstractNumId="14">
    <w:nsid w:val="73316104"/>
    <w:multiLevelType w:val="hybridMultilevel"/>
    <w:tmpl w:val="DF2E841A"/>
    <w:lvl w:ilvl="0" w:tplc="AD02D5A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3"/>
  </w:num>
  <w:num w:numId="5">
    <w:abstractNumId w:val="5"/>
  </w:num>
  <w:num w:numId="6">
    <w:abstractNumId w:val="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
  </w:num>
  <w:num w:numId="10">
    <w:abstractNumId w:val="1"/>
  </w:num>
  <w:num w:numId="11">
    <w:abstractNumId w:val="14"/>
  </w:num>
  <w:num w:numId="12">
    <w:abstractNumId w:val="9"/>
  </w:num>
  <w:num w:numId="13">
    <w:abstractNumId w:val="6"/>
  </w:num>
  <w:num w:numId="14">
    <w:abstractNumId w:val="11"/>
  </w:num>
  <w:num w:numId="15">
    <w:abstractNumId w:val="1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E7"/>
    <w:rsid w:val="00014882"/>
    <w:rsid w:val="000234B9"/>
    <w:rsid w:val="00030FA0"/>
    <w:rsid w:val="000324D2"/>
    <w:rsid w:val="00033E75"/>
    <w:rsid w:val="00036A5D"/>
    <w:rsid w:val="00056323"/>
    <w:rsid w:val="00074030"/>
    <w:rsid w:val="000775E7"/>
    <w:rsid w:val="000B0E4F"/>
    <w:rsid w:val="00103303"/>
    <w:rsid w:val="001058BB"/>
    <w:rsid w:val="001257F9"/>
    <w:rsid w:val="0014196C"/>
    <w:rsid w:val="001620F0"/>
    <w:rsid w:val="001750A8"/>
    <w:rsid w:val="00175D6C"/>
    <w:rsid w:val="0018324C"/>
    <w:rsid w:val="00192181"/>
    <w:rsid w:val="00194E05"/>
    <w:rsid w:val="00195D0F"/>
    <w:rsid w:val="001B02FE"/>
    <w:rsid w:val="001B0504"/>
    <w:rsid w:val="001B16D9"/>
    <w:rsid w:val="001E44BC"/>
    <w:rsid w:val="00226CA0"/>
    <w:rsid w:val="00233814"/>
    <w:rsid w:val="00235A40"/>
    <w:rsid w:val="00244DD8"/>
    <w:rsid w:val="00251194"/>
    <w:rsid w:val="00292806"/>
    <w:rsid w:val="002A4771"/>
    <w:rsid w:val="002B0471"/>
    <w:rsid w:val="002C000A"/>
    <w:rsid w:val="002F2730"/>
    <w:rsid w:val="002F5D0B"/>
    <w:rsid w:val="0031159B"/>
    <w:rsid w:val="003259B9"/>
    <w:rsid w:val="00344FE7"/>
    <w:rsid w:val="00351475"/>
    <w:rsid w:val="00364215"/>
    <w:rsid w:val="003656B1"/>
    <w:rsid w:val="003A3E82"/>
    <w:rsid w:val="003A4FEF"/>
    <w:rsid w:val="003B5DE7"/>
    <w:rsid w:val="003D01AF"/>
    <w:rsid w:val="003D0DAF"/>
    <w:rsid w:val="003F0972"/>
    <w:rsid w:val="003F38BD"/>
    <w:rsid w:val="004108BB"/>
    <w:rsid w:val="00434AE3"/>
    <w:rsid w:val="00434CB0"/>
    <w:rsid w:val="004502AA"/>
    <w:rsid w:val="0045134F"/>
    <w:rsid w:val="0045138B"/>
    <w:rsid w:val="004B15B8"/>
    <w:rsid w:val="004C4FFC"/>
    <w:rsid w:val="004D4D20"/>
    <w:rsid w:val="004D4EF1"/>
    <w:rsid w:val="0051611A"/>
    <w:rsid w:val="005262DC"/>
    <w:rsid w:val="00532B7B"/>
    <w:rsid w:val="00542686"/>
    <w:rsid w:val="005736DF"/>
    <w:rsid w:val="005767F7"/>
    <w:rsid w:val="005B1C12"/>
    <w:rsid w:val="005E3D42"/>
    <w:rsid w:val="005F7047"/>
    <w:rsid w:val="00614890"/>
    <w:rsid w:val="00665BF7"/>
    <w:rsid w:val="006670D5"/>
    <w:rsid w:val="0068350B"/>
    <w:rsid w:val="00694F72"/>
    <w:rsid w:val="006C0214"/>
    <w:rsid w:val="006F17B5"/>
    <w:rsid w:val="006F5890"/>
    <w:rsid w:val="0071472F"/>
    <w:rsid w:val="007342F2"/>
    <w:rsid w:val="007467AA"/>
    <w:rsid w:val="007615EB"/>
    <w:rsid w:val="0078508F"/>
    <w:rsid w:val="007A662D"/>
    <w:rsid w:val="007B024C"/>
    <w:rsid w:val="007B2862"/>
    <w:rsid w:val="007C00E5"/>
    <w:rsid w:val="007C0642"/>
    <w:rsid w:val="007C1C6F"/>
    <w:rsid w:val="007D24E2"/>
    <w:rsid w:val="007D66CE"/>
    <w:rsid w:val="00815DA2"/>
    <w:rsid w:val="00855ECA"/>
    <w:rsid w:val="0086421B"/>
    <w:rsid w:val="0089717A"/>
    <w:rsid w:val="008A47D4"/>
    <w:rsid w:val="008B79BD"/>
    <w:rsid w:val="008C3243"/>
    <w:rsid w:val="00901F1F"/>
    <w:rsid w:val="009029E0"/>
    <w:rsid w:val="009557B1"/>
    <w:rsid w:val="00966F95"/>
    <w:rsid w:val="00973949"/>
    <w:rsid w:val="0099043A"/>
    <w:rsid w:val="00992437"/>
    <w:rsid w:val="009B5DF5"/>
    <w:rsid w:val="009B753B"/>
    <w:rsid w:val="009B7ADA"/>
    <w:rsid w:val="009C2E55"/>
    <w:rsid w:val="009D2560"/>
    <w:rsid w:val="009D6677"/>
    <w:rsid w:val="009E16B5"/>
    <w:rsid w:val="009E30AA"/>
    <w:rsid w:val="009E35FF"/>
    <w:rsid w:val="00A24192"/>
    <w:rsid w:val="00A26523"/>
    <w:rsid w:val="00A30272"/>
    <w:rsid w:val="00A36AF4"/>
    <w:rsid w:val="00A558AE"/>
    <w:rsid w:val="00A603C7"/>
    <w:rsid w:val="00A62936"/>
    <w:rsid w:val="00A75780"/>
    <w:rsid w:val="00A77D21"/>
    <w:rsid w:val="00A802F7"/>
    <w:rsid w:val="00A84CE4"/>
    <w:rsid w:val="00AE5BF4"/>
    <w:rsid w:val="00AF2582"/>
    <w:rsid w:val="00AF4D45"/>
    <w:rsid w:val="00AF5C68"/>
    <w:rsid w:val="00B2797F"/>
    <w:rsid w:val="00B31F84"/>
    <w:rsid w:val="00B35A53"/>
    <w:rsid w:val="00B75881"/>
    <w:rsid w:val="00B81EE6"/>
    <w:rsid w:val="00BB2AD6"/>
    <w:rsid w:val="00BC7A82"/>
    <w:rsid w:val="00BE2068"/>
    <w:rsid w:val="00BF49C8"/>
    <w:rsid w:val="00C01613"/>
    <w:rsid w:val="00C0201F"/>
    <w:rsid w:val="00C05003"/>
    <w:rsid w:val="00C119CE"/>
    <w:rsid w:val="00C23F36"/>
    <w:rsid w:val="00C305B6"/>
    <w:rsid w:val="00C3135F"/>
    <w:rsid w:val="00C736B9"/>
    <w:rsid w:val="00C82AB2"/>
    <w:rsid w:val="00C84B13"/>
    <w:rsid w:val="00C87BC3"/>
    <w:rsid w:val="00C94C61"/>
    <w:rsid w:val="00CA783E"/>
    <w:rsid w:val="00CE7553"/>
    <w:rsid w:val="00CF0704"/>
    <w:rsid w:val="00CF1510"/>
    <w:rsid w:val="00D0782B"/>
    <w:rsid w:val="00D23111"/>
    <w:rsid w:val="00D239A9"/>
    <w:rsid w:val="00D445A4"/>
    <w:rsid w:val="00D44E9D"/>
    <w:rsid w:val="00D5014C"/>
    <w:rsid w:val="00D72EF9"/>
    <w:rsid w:val="00DA02DE"/>
    <w:rsid w:val="00DB21EC"/>
    <w:rsid w:val="00DB2CB4"/>
    <w:rsid w:val="00DB2CCC"/>
    <w:rsid w:val="00DD07B5"/>
    <w:rsid w:val="00DE175C"/>
    <w:rsid w:val="00DF5982"/>
    <w:rsid w:val="00E03C82"/>
    <w:rsid w:val="00E35741"/>
    <w:rsid w:val="00E4386D"/>
    <w:rsid w:val="00E43D90"/>
    <w:rsid w:val="00E5135F"/>
    <w:rsid w:val="00E64F85"/>
    <w:rsid w:val="00E90B21"/>
    <w:rsid w:val="00EB7058"/>
    <w:rsid w:val="00EC2804"/>
    <w:rsid w:val="00EC3AAE"/>
    <w:rsid w:val="00ED4D28"/>
    <w:rsid w:val="00ED6FD3"/>
    <w:rsid w:val="00EF5F68"/>
    <w:rsid w:val="00F17B00"/>
    <w:rsid w:val="00F5121D"/>
    <w:rsid w:val="00F65D71"/>
    <w:rsid w:val="00F777C2"/>
    <w:rsid w:val="00F80EDC"/>
    <w:rsid w:val="00F82E72"/>
    <w:rsid w:val="00FC767A"/>
    <w:rsid w:val="00FD0035"/>
    <w:rsid w:val="00FD4B61"/>
    <w:rsid w:val="00FD6D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comentario">
    <w:name w:val="annotation reference"/>
    <w:basedOn w:val="Fuentedeprrafopredeter"/>
    <w:uiPriority w:val="99"/>
    <w:semiHidden/>
    <w:unhideWhenUsed/>
    <w:rsid w:val="00A802F7"/>
    <w:rPr>
      <w:sz w:val="16"/>
      <w:szCs w:val="16"/>
    </w:rPr>
  </w:style>
  <w:style w:type="paragraph" w:styleId="Textocomentario">
    <w:name w:val="annotation text"/>
    <w:basedOn w:val="Normal"/>
    <w:link w:val="TextocomentarioCar"/>
    <w:uiPriority w:val="99"/>
    <w:semiHidden/>
    <w:unhideWhenUsed/>
    <w:rsid w:val="00A802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02F7"/>
    <w:rPr>
      <w:sz w:val="20"/>
      <w:szCs w:val="20"/>
    </w:rPr>
  </w:style>
  <w:style w:type="paragraph" w:styleId="Asuntodelcomentario">
    <w:name w:val="annotation subject"/>
    <w:basedOn w:val="Textocomentario"/>
    <w:next w:val="Textocomentario"/>
    <w:link w:val="AsuntodelcomentarioCar"/>
    <w:uiPriority w:val="99"/>
    <w:semiHidden/>
    <w:unhideWhenUsed/>
    <w:rsid w:val="00A802F7"/>
    <w:rPr>
      <w:b/>
      <w:bCs/>
    </w:rPr>
  </w:style>
  <w:style w:type="character" w:customStyle="1" w:styleId="AsuntodelcomentarioCar">
    <w:name w:val="Asunto del comentario Car"/>
    <w:basedOn w:val="TextocomentarioCar"/>
    <w:link w:val="Asuntodelcomentario"/>
    <w:uiPriority w:val="99"/>
    <w:semiHidden/>
    <w:rsid w:val="00A802F7"/>
    <w:rPr>
      <w:b/>
      <w:bCs/>
      <w:sz w:val="20"/>
      <w:szCs w:val="20"/>
    </w:rPr>
  </w:style>
  <w:style w:type="table" w:customStyle="1" w:styleId="Tablaconcuadrcula1">
    <w:name w:val="Tabla con cuadrícula1"/>
    <w:basedOn w:val="Tablanormal"/>
    <w:next w:val="Tablaconcuadrcula"/>
    <w:uiPriority w:val="59"/>
    <w:rsid w:val="00AF2582"/>
    <w:pPr>
      <w:spacing w:after="0" w:line="240" w:lineRule="auto"/>
    </w:pPr>
    <w:rPr>
      <w:rFonts w:eastAsia="Times New Roman" w:cs="Times New Roman"/>
      <w:sz w:val="22"/>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comentario">
    <w:name w:val="annotation reference"/>
    <w:basedOn w:val="Fuentedeprrafopredeter"/>
    <w:uiPriority w:val="99"/>
    <w:semiHidden/>
    <w:unhideWhenUsed/>
    <w:rsid w:val="00A802F7"/>
    <w:rPr>
      <w:sz w:val="16"/>
      <w:szCs w:val="16"/>
    </w:rPr>
  </w:style>
  <w:style w:type="paragraph" w:styleId="Textocomentario">
    <w:name w:val="annotation text"/>
    <w:basedOn w:val="Normal"/>
    <w:link w:val="TextocomentarioCar"/>
    <w:uiPriority w:val="99"/>
    <w:semiHidden/>
    <w:unhideWhenUsed/>
    <w:rsid w:val="00A802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02F7"/>
    <w:rPr>
      <w:sz w:val="20"/>
      <w:szCs w:val="20"/>
    </w:rPr>
  </w:style>
  <w:style w:type="paragraph" w:styleId="Asuntodelcomentario">
    <w:name w:val="annotation subject"/>
    <w:basedOn w:val="Textocomentario"/>
    <w:next w:val="Textocomentario"/>
    <w:link w:val="AsuntodelcomentarioCar"/>
    <w:uiPriority w:val="99"/>
    <w:semiHidden/>
    <w:unhideWhenUsed/>
    <w:rsid w:val="00A802F7"/>
    <w:rPr>
      <w:b/>
      <w:bCs/>
    </w:rPr>
  </w:style>
  <w:style w:type="character" w:customStyle="1" w:styleId="AsuntodelcomentarioCar">
    <w:name w:val="Asunto del comentario Car"/>
    <w:basedOn w:val="TextocomentarioCar"/>
    <w:link w:val="Asuntodelcomentario"/>
    <w:uiPriority w:val="99"/>
    <w:semiHidden/>
    <w:rsid w:val="00A802F7"/>
    <w:rPr>
      <w:b/>
      <w:bCs/>
      <w:sz w:val="20"/>
      <w:szCs w:val="20"/>
    </w:rPr>
  </w:style>
  <w:style w:type="table" w:customStyle="1" w:styleId="Tablaconcuadrcula1">
    <w:name w:val="Tabla con cuadrícula1"/>
    <w:basedOn w:val="Tablanormal"/>
    <w:next w:val="Tablaconcuadrcula"/>
    <w:uiPriority w:val="59"/>
    <w:rsid w:val="00AF2582"/>
    <w:pPr>
      <w:spacing w:after="0" w:line="240" w:lineRule="auto"/>
    </w:pPr>
    <w:rPr>
      <w:rFonts w:eastAsia="Times New Roman" w:cs="Times New Roman"/>
      <w:sz w:val="22"/>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973587">
      <w:bodyDiv w:val="1"/>
      <w:marLeft w:val="0"/>
      <w:marRight w:val="0"/>
      <w:marTop w:val="0"/>
      <w:marBottom w:val="0"/>
      <w:divBdr>
        <w:top w:val="none" w:sz="0" w:space="0" w:color="auto"/>
        <w:left w:val="none" w:sz="0" w:space="0" w:color="auto"/>
        <w:bottom w:val="none" w:sz="0" w:space="0" w:color="auto"/>
        <w:right w:val="none" w:sz="0" w:space="0" w:color="auto"/>
      </w:divBdr>
    </w:div>
    <w:div w:id="18176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850</Words>
  <Characters>4680</Characters>
  <Application>Microsoft Office Word</Application>
  <DocSecurity>4</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5519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anam.ruiz</cp:lastModifiedBy>
  <cp:revision>2</cp:revision>
  <cp:lastPrinted>2015-01-27T17:42:00Z</cp:lastPrinted>
  <dcterms:created xsi:type="dcterms:W3CDTF">2022-01-11T08:20:00Z</dcterms:created>
  <dcterms:modified xsi:type="dcterms:W3CDTF">2022-01-11T08:20:00Z</dcterms:modified>
</cp:coreProperties>
</file>