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9E032A" w:rsidRDefault="009E032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Castilla-La Mancha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7C58D1" w:rsidRDefault="007C58D1"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Castilla-La Mancha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E032A" w:rsidRDefault="009E032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C58D1" w:rsidRDefault="007C58D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1E4C9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E77D81" w:rsidRPr="007942B7" w:rsidTr="00E77D81">
        <w:trPr>
          <w:trHeight w:val="736"/>
        </w:trPr>
        <w:tc>
          <w:tcPr>
            <w:tcW w:w="2093" w:type="dxa"/>
          </w:tcPr>
          <w:p w:rsidR="00E77D81" w:rsidRPr="007942B7" w:rsidRDefault="00E77D81" w:rsidP="00AC4A6F">
            <w:pPr>
              <w:rPr>
                <w:sz w:val="20"/>
                <w:szCs w:val="20"/>
              </w:rPr>
            </w:pPr>
            <w:r w:rsidRPr="007942B7">
              <w:rPr>
                <w:sz w:val="20"/>
                <w:szCs w:val="20"/>
              </w:rPr>
              <w:t>Localización y estructuración de la Información</w:t>
            </w:r>
          </w:p>
        </w:tc>
        <w:tc>
          <w:tcPr>
            <w:tcW w:w="4819" w:type="dxa"/>
          </w:tcPr>
          <w:p w:rsidR="00E77D81" w:rsidRPr="007942B7" w:rsidRDefault="00E77D81" w:rsidP="00E77D81">
            <w:pPr>
              <w:rPr>
                <w:sz w:val="20"/>
                <w:szCs w:val="20"/>
              </w:rPr>
            </w:pPr>
            <w:r>
              <w:rPr>
                <w:sz w:val="20"/>
                <w:szCs w:val="20"/>
              </w:rPr>
              <w:t>Enlazar a la información relativa al cumplimiento de los compromisos de las cartas de servicios desde el Portal de Transparencia</w:t>
            </w:r>
          </w:p>
        </w:tc>
        <w:tc>
          <w:tcPr>
            <w:tcW w:w="567" w:type="dxa"/>
            <w:vAlign w:val="center"/>
          </w:tcPr>
          <w:p w:rsidR="00E77D81" w:rsidRPr="007942B7" w:rsidRDefault="00E255A9" w:rsidP="00183301">
            <w:pPr>
              <w:jc w:val="center"/>
              <w:rPr>
                <w:sz w:val="20"/>
                <w:szCs w:val="20"/>
              </w:rPr>
            </w:pPr>
            <w:r>
              <w:rPr>
                <w:sz w:val="20"/>
                <w:szCs w:val="20"/>
              </w:rPr>
              <w:t>X</w:t>
            </w:r>
          </w:p>
        </w:tc>
        <w:tc>
          <w:tcPr>
            <w:tcW w:w="3203" w:type="dxa"/>
          </w:tcPr>
          <w:p w:rsidR="00E77D81" w:rsidRPr="007942B7" w:rsidRDefault="00271F20" w:rsidP="003D2A34">
            <w:pPr>
              <w:rPr>
                <w:sz w:val="20"/>
                <w:szCs w:val="20"/>
              </w:rPr>
            </w:pPr>
            <w:r>
              <w:rPr>
                <w:sz w:val="20"/>
                <w:szCs w:val="20"/>
              </w:rPr>
              <w:t>La información se localiza a través de la misma ruta detallada en el informe de evaluación de 2020</w:t>
            </w:r>
          </w:p>
        </w:tc>
      </w:tr>
      <w:tr w:rsidR="006D4C90" w:rsidRPr="007942B7" w:rsidTr="00183301">
        <w:tc>
          <w:tcPr>
            <w:tcW w:w="2093" w:type="dxa"/>
            <w:vMerge w:val="restart"/>
            <w:vAlign w:val="center"/>
          </w:tcPr>
          <w:p w:rsidR="006D4C90" w:rsidRPr="00C3228C" w:rsidRDefault="006D4C90" w:rsidP="006D4C90">
            <w:pPr>
              <w:rPr>
                <w:sz w:val="20"/>
                <w:szCs w:val="20"/>
              </w:rPr>
            </w:pPr>
            <w:r w:rsidRPr="00C3228C">
              <w:rPr>
                <w:sz w:val="20"/>
                <w:szCs w:val="20"/>
              </w:rPr>
              <w:t>Publicación de Contenidos</w:t>
            </w:r>
          </w:p>
        </w:tc>
        <w:tc>
          <w:tcPr>
            <w:tcW w:w="4819" w:type="dxa"/>
          </w:tcPr>
          <w:p w:rsidR="006D4C90" w:rsidRDefault="00E77D81" w:rsidP="00C3228C">
            <w:pPr>
              <w:rPr>
                <w:sz w:val="20"/>
                <w:szCs w:val="20"/>
              </w:rPr>
            </w:pPr>
            <w:r>
              <w:rPr>
                <w:sz w:val="20"/>
                <w:szCs w:val="20"/>
              </w:rPr>
              <w:t>Inclusión del organigrama de la Junta de Comunidades</w:t>
            </w:r>
          </w:p>
        </w:tc>
        <w:tc>
          <w:tcPr>
            <w:tcW w:w="567" w:type="dxa"/>
            <w:vAlign w:val="center"/>
          </w:tcPr>
          <w:p w:rsidR="006D4C90" w:rsidRDefault="00E255A9" w:rsidP="00183301">
            <w:pPr>
              <w:jc w:val="center"/>
              <w:rPr>
                <w:sz w:val="20"/>
                <w:szCs w:val="20"/>
              </w:rPr>
            </w:pPr>
            <w:r>
              <w:rPr>
                <w:sz w:val="20"/>
                <w:szCs w:val="20"/>
              </w:rPr>
              <w:t>X</w:t>
            </w:r>
          </w:p>
        </w:tc>
        <w:tc>
          <w:tcPr>
            <w:tcW w:w="3203" w:type="dxa"/>
          </w:tcPr>
          <w:p w:rsidR="006D4C90" w:rsidRPr="007942B7" w:rsidRDefault="009E032A" w:rsidP="00AC4A6F">
            <w:pPr>
              <w:rPr>
                <w:sz w:val="20"/>
                <w:szCs w:val="20"/>
              </w:rPr>
            </w:pPr>
            <w:r>
              <w:rPr>
                <w:sz w:val="20"/>
                <w:szCs w:val="20"/>
              </w:rPr>
              <w:t>Si</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E77D81" w:rsidP="00E77D81">
            <w:pPr>
              <w:rPr>
                <w:sz w:val="20"/>
                <w:szCs w:val="20"/>
              </w:rPr>
            </w:pPr>
            <w:r>
              <w:rPr>
                <w:sz w:val="20"/>
                <w:szCs w:val="20"/>
              </w:rPr>
              <w:t>Publicación de la información sobre resoluciones que autoricen el ejercicio de actividad privada con motivo del cese de los altos cargos</w:t>
            </w:r>
          </w:p>
        </w:tc>
        <w:tc>
          <w:tcPr>
            <w:tcW w:w="567" w:type="dxa"/>
            <w:vAlign w:val="center"/>
          </w:tcPr>
          <w:p w:rsidR="006D4C90" w:rsidRPr="007942B7" w:rsidRDefault="00E255A9" w:rsidP="00183301">
            <w:pPr>
              <w:jc w:val="center"/>
              <w:rPr>
                <w:sz w:val="20"/>
                <w:szCs w:val="20"/>
              </w:rPr>
            </w:pPr>
            <w:r>
              <w:rPr>
                <w:sz w:val="20"/>
                <w:szCs w:val="20"/>
              </w:rPr>
              <w:t>X</w:t>
            </w:r>
          </w:p>
        </w:tc>
        <w:tc>
          <w:tcPr>
            <w:tcW w:w="3203" w:type="dxa"/>
          </w:tcPr>
          <w:p w:rsidR="006D4C90" w:rsidRPr="007942B7" w:rsidRDefault="00C61119" w:rsidP="00AC4A6F">
            <w:pPr>
              <w:rPr>
                <w:sz w:val="20"/>
                <w:szCs w:val="20"/>
              </w:rPr>
            </w:pPr>
            <w:r>
              <w:rPr>
                <w:sz w:val="20"/>
                <w:szCs w:val="20"/>
              </w:rPr>
              <w:t>No se ha localizado</w:t>
            </w:r>
          </w:p>
        </w:tc>
      </w:tr>
      <w:tr w:rsidR="000E5A95" w:rsidRPr="007942B7" w:rsidTr="000E5A95">
        <w:trPr>
          <w:trHeight w:val="1011"/>
        </w:trPr>
        <w:tc>
          <w:tcPr>
            <w:tcW w:w="2093" w:type="dxa"/>
            <w:vMerge/>
          </w:tcPr>
          <w:p w:rsidR="000E5A95" w:rsidRPr="007942B7" w:rsidRDefault="000E5A95" w:rsidP="00AC4A6F">
            <w:pPr>
              <w:rPr>
                <w:sz w:val="20"/>
                <w:szCs w:val="20"/>
              </w:rPr>
            </w:pPr>
          </w:p>
        </w:tc>
        <w:tc>
          <w:tcPr>
            <w:tcW w:w="4819" w:type="dxa"/>
          </w:tcPr>
          <w:p w:rsidR="000E5A95" w:rsidRPr="007942B7" w:rsidRDefault="000E5A95" w:rsidP="00271F20">
            <w:pPr>
              <w:rPr>
                <w:sz w:val="20"/>
                <w:szCs w:val="20"/>
              </w:rPr>
            </w:pPr>
            <w:r>
              <w:rPr>
                <w:sz w:val="20"/>
                <w:szCs w:val="20"/>
              </w:rPr>
              <w:t>En aquellas informaciones en las que no hubiese actividad reseñable y por ello, no existe información, hacer constar tal circunstancia</w:t>
            </w:r>
          </w:p>
        </w:tc>
        <w:tc>
          <w:tcPr>
            <w:tcW w:w="567" w:type="dxa"/>
            <w:vAlign w:val="center"/>
          </w:tcPr>
          <w:p w:rsidR="000E5A95" w:rsidRPr="00183301" w:rsidRDefault="00E255A9" w:rsidP="00183301">
            <w:pPr>
              <w:jc w:val="center"/>
              <w:rPr>
                <w:sz w:val="20"/>
                <w:szCs w:val="20"/>
              </w:rPr>
            </w:pPr>
            <w:r>
              <w:rPr>
                <w:sz w:val="20"/>
                <w:szCs w:val="20"/>
              </w:rPr>
              <w:t>X</w:t>
            </w:r>
          </w:p>
        </w:tc>
        <w:tc>
          <w:tcPr>
            <w:tcW w:w="3203" w:type="dxa"/>
          </w:tcPr>
          <w:p w:rsidR="000E5A95" w:rsidRPr="007942B7" w:rsidRDefault="008F1625" w:rsidP="00A0626F">
            <w:pPr>
              <w:rPr>
                <w:sz w:val="20"/>
                <w:szCs w:val="20"/>
              </w:rPr>
            </w:pPr>
            <w:r>
              <w:rPr>
                <w:sz w:val="20"/>
                <w:szCs w:val="20"/>
              </w:rPr>
              <w:t>No se ha localizado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E255A9" w:rsidP="00183301">
            <w:pPr>
              <w:jc w:val="center"/>
              <w:rPr>
                <w:sz w:val="20"/>
                <w:szCs w:val="20"/>
              </w:rPr>
            </w:pPr>
            <w:r>
              <w:rPr>
                <w:sz w:val="20"/>
                <w:szCs w:val="20"/>
              </w:rPr>
              <w:t>X</w:t>
            </w:r>
          </w:p>
        </w:tc>
        <w:tc>
          <w:tcPr>
            <w:tcW w:w="3203" w:type="dxa"/>
          </w:tcPr>
          <w:p w:rsidR="00183301" w:rsidRPr="007942B7" w:rsidRDefault="00EC3D69" w:rsidP="00EC3D69">
            <w:pPr>
              <w:rPr>
                <w:sz w:val="20"/>
                <w:szCs w:val="20"/>
              </w:rPr>
            </w:pPr>
            <w:r>
              <w:rPr>
                <w:sz w:val="20"/>
                <w:szCs w:val="20"/>
              </w:rPr>
              <w:t>Para acceder</w:t>
            </w:r>
            <w:r w:rsidR="00BF0241">
              <w:rPr>
                <w:sz w:val="20"/>
                <w:szCs w:val="20"/>
              </w:rPr>
              <w:t xml:space="preserve"> a la información contractual </w:t>
            </w:r>
            <w:r>
              <w:rPr>
                <w:sz w:val="20"/>
                <w:szCs w:val="20"/>
              </w:rPr>
              <w:t xml:space="preserve">se enlaza a la Plataforma de contratación del sector público </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E255A9" w:rsidP="00BA14E6">
            <w:pPr>
              <w:rPr>
                <w:sz w:val="20"/>
                <w:szCs w:val="20"/>
              </w:rPr>
            </w:pPr>
            <w:r>
              <w:rPr>
                <w:sz w:val="20"/>
                <w:szCs w:val="20"/>
              </w:rPr>
              <w:t xml:space="preserve">Revisión de oficio. </w:t>
            </w:r>
            <w:r w:rsidR="008F1625">
              <w:rPr>
                <w:sz w:val="20"/>
                <w:szCs w:val="20"/>
              </w:rPr>
              <w:t>La información se ofrece con carácter general en formatos reutilizables</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E255A9" w:rsidP="00183301">
            <w:pPr>
              <w:jc w:val="center"/>
              <w:rPr>
                <w:sz w:val="20"/>
                <w:szCs w:val="20"/>
              </w:rPr>
            </w:pPr>
            <w:r>
              <w:rPr>
                <w:sz w:val="20"/>
                <w:szCs w:val="20"/>
              </w:rPr>
              <w:t>X</w:t>
            </w:r>
          </w:p>
        </w:tc>
        <w:tc>
          <w:tcPr>
            <w:tcW w:w="3203" w:type="dxa"/>
          </w:tcPr>
          <w:p w:rsidR="00420A46" w:rsidRPr="007942B7" w:rsidRDefault="00AC4A48" w:rsidP="00420A46">
            <w:pPr>
              <w:rPr>
                <w:sz w:val="20"/>
                <w:szCs w:val="20"/>
              </w:rPr>
            </w:pPr>
            <w:r>
              <w:rPr>
                <w:sz w:val="20"/>
                <w:szCs w:val="20"/>
              </w:rPr>
              <w:t xml:space="preserve">No </w:t>
            </w:r>
            <w:r w:rsidR="00420A46">
              <w:rPr>
                <w:sz w:val="20"/>
                <w:szCs w:val="20"/>
              </w:rPr>
              <w:t xml:space="preserve">se indican las fechas de las últimas actualizaciones </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F1625" w:rsidP="00807495">
            <w:pPr>
              <w:jc w:val="center"/>
              <w:rPr>
                <w:b/>
                <w:sz w:val="20"/>
                <w:szCs w:val="20"/>
              </w:rPr>
            </w:pPr>
            <w:r>
              <w:rPr>
                <w:b/>
                <w:sz w:val="20"/>
                <w:szCs w:val="20"/>
              </w:rPr>
              <w:t>7</w:t>
            </w:r>
          </w:p>
        </w:tc>
        <w:tc>
          <w:tcPr>
            <w:tcW w:w="3203" w:type="dxa"/>
          </w:tcPr>
          <w:p w:rsidR="001C7D84" w:rsidRPr="001C7D84" w:rsidRDefault="001C7D84" w:rsidP="00AC4A6F">
            <w:pPr>
              <w:rPr>
                <w:b/>
                <w:sz w:val="20"/>
                <w:szCs w:val="20"/>
              </w:rPr>
            </w:pPr>
          </w:p>
        </w:tc>
      </w:tr>
    </w:tbl>
    <w:p w:rsidR="003A1694" w:rsidRDefault="003A1694" w:rsidP="00AC4A6F"/>
    <w:p w:rsidR="00FA5AFD" w:rsidRDefault="00FA5AFD" w:rsidP="00AC4A6F"/>
    <w:p w:rsidR="00E17DF6" w:rsidRDefault="00E17DF6" w:rsidP="00AC4A6F"/>
    <w:p w:rsidR="00876480" w:rsidRDefault="006241AE" w:rsidP="00876480">
      <w:pPr>
        <w:jc w:val="both"/>
      </w:pPr>
      <w:r>
        <w:t xml:space="preserve">La Comunidad Autónoma de </w:t>
      </w:r>
      <w:r w:rsidR="00045369">
        <w:t>Castilla-La Mancha</w:t>
      </w:r>
      <w:r>
        <w:t xml:space="preserve"> ha aplicado </w:t>
      </w:r>
      <w:r w:rsidR="009E032A">
        <w:t>una</w:t>
      </w:r>
      <w:r w:rsidR="00523650">
        <w:t xml:space="preserve"> de</w:t>
      </w:r>
      <w:r w:rsidR="007C58D1">
        <w:t xml:space="preserve"> </w:t>
      </w:r>
      <w:r>
        <w:t xml:space="preserve">las recomendaciones </w:t>
      </w:r>
      <w:r w:rsidR="00876480" w:rsidRPr="00876480">
        <w:t>efectuadas por este CTBG como consecuencia de la evaluación realizada en 2020.</w:t>
      </w:r>
    </w:p>
    <w:p w:rsidR="007C58D1" w:rsidRDefault="007C58D1" w:rsidP="00876480">
      <w:pPr>
        <w:jc w:val="both"/>
      </w:pPr>
    </w:p>
    <w:p w:rsidR="007C58D1" w:rsidRDefault="007C58D1" w:rsidP="00876480">
      <w:pPr>
        <w:jc w:val="both"/>
      </w:pPr>
      <w:r>
        <w:t xml:space="preserve">No se ha localizado información referente a las </w:t>
      </w:r>
      <w:r w:rsidRPr="007C58D1">
        <w:t>resoluciones que autoricen el ejercicio de actividad privada con motivo del cese de los altos cargos</w:t>
      </w:r>
      <w:r>
        <w:t>.</w:t>
      </w:r>
    </w:p>
    <w:p w:rsidR="007C58D1" w:rsidRDefault="007C58D1" w:rsidP="00876480">
      <w:pPr>
        <w:jc w:val="both"/>
      </w:pPr>
    </w:p>
    <w:p w:rsidR="007C58D1" w:rsidRDefault="007C58D1" w:rsidP="00876480">
      <w:pPr>
        <w:jc w:val="both"/>
      </w:pPr>
      <w:r>
        <w:t>Asimismo, se advirtió acerca de la dificultad que supone para la ciudadanía el recurso a fuentes de información centralizadas para usuarios no familiarizados con las mismas. Sin embargo, p</w:t>
      </w:r>
      <w:r w:rsidRPr="007C58D1">
        <w:t xml:space="preserve">ara acceder a la información contractual se </w:t>
      </w:r>
      <w:r>
        <w:t>sigue enlazando</w:t>
      </w:r>
      <w:r w:rsidRPr="007C58D1">
        <w:t xml:space="preserve"> a la Plataforma de contratación del sector público</w:t>
      </w:r>
      <w:r>
        <w:t>.</w:t>
      </w:r>
    </w:p>
    <w:p w:rsidR="007C58D1" w:rsidRDefault="007C58D1" w:rsidP="00876480">
      <w:pPr>
        <w:jc w:val="both"/>
      </w:pPr>
    </w:p>
    <w:p w:rsidR="007C58D1" w:rsidRPr="00876480" w:rsidRDefault="007C58D1" w:rsidP="00876480">
      <w:pPr>
        <w:jc w:val="both"/>
      </w:pPr>
      <w:r>
        <w:t>C</w:t>
      </w:r>
      <w:r w:rsidR="0043102C">
        <w:t>on c</w:t>
      </w:r>
      <w:r>
        <w:t>arácter general la información se encuentra datada</w:t>
      </w:r>
      <w:r w:rsidR="00420A46">
        <w:t xml:space="preserve"> en fechas recientes</w:t>
      </w:r>
      <w:r>
        <w:t xml:space="preserve">. Sin embargo, se ha de observar que en algún caso, como la publicación de encomiendas de gestión y encargos de la Consejería de Economía, Empresas y Empleo, que se encuentra fechada a 31 de octubre de 2019, no se indica si </w:t>
      </w:r>
      <w:r w:rsidR="00420A46">
        <w:t>no ha habido posterior actividad reseñable. Además, como no se indica la fecha de la última actualización de la página no es posible deducir si dicha información es la última disponible.</w:t>
      </w:r>
    </w:p>
    <w:p w:rsidR="00CC60B0" w:rsidRDefault="00CC60B0" w:rsidP="00C02D3B"/>
    <w:p w:rsidR="00420A46" w:rsidRDefault="00420A46" w:rsidP="00420A46">
      <w:pPr>
        <w:jc w:val="both"/>
      </w:pPr>
      <w:r>
        <w:t xml:space="preserve">De hecho, </w:t>
      </w:r>
      <w:r w:rsidR="008F1625">
        <w:t>es habitual que no</w:t>
      </w:r>
      <w:r>
        <w:t xml:space="preserve"> se indi</w:t>
      </w:r>
      <w:r w:rsidR="008F1625">
        <w:t xml:space="preserve">que </w:t>
      </w:r>
      <w:r>
        <w:t xml:space="preserve">la fecha de actualización de las distintas informaciones, si bien, dado que la datación de la misma responde </w:t>
      </w:r>
      <w:r w:rsidR="008F1625">
        <w:t>con frecuencia</w:t>
      </w:r>
      <w:r>
        <w:t xml:space="preserve"> a fechas recientes, se puede deducir que esta se encuentra actualizada.</w:t>
      </w:r>
    </w:p>
    <w:p w:rsidR="00CC60B0" w:rsidRDefault="00CC60B0" w:rsidP="00C02D3B"/>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E032A" w:rsidRPr="00F31BC3" w:rsidRDefault="009E032A"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7C58D1" w:rsidRPr="00F31BC3" w:rsidRDefault="007C58D1"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225B8D" w:rsidRPr="00225B8D" w:rsidTr="001E4C98">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25B8D" w:rsidRPr="00225B8D" w:rsidRDefault="00225B8D" w:rsidP="00225B8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1E4C98" w:rsidRPr="00225B8D" w:rsidTr="001E4C9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E4C98" w:rsidRPr="00225B8D" w:rsidRDefault="001E4C98" w:rsidP="00225B8D">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97,0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40,0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91,0</w:t>
            </w:r>
          </w:p>
        </w:tc>
      </w:tr>
      <w:tr w:rsidR="001E4C98" w:rsidRPr="00225B8D" w:rsidTr="001E4C98">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4C98" w:rsidRPr="00225B8D" w:rsidRDefault="001E4C98" w:rsidP="00225B8D">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50,0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92,9</w:t>
            </w:r>
          </w:p>
        </w:tc>
      </w:tr>
      <w:tr w:rsidR="001E4C98" w:rsidRPr="00225B8D" w:rsidTr="001E4C9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4C98" w:rsidRPr="00225B8D" w:rsidRDefault="001E4C98" w:rsidP="00225B8D">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97,5</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84,2</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94,7</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78,9</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97,4</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4C98">
              <w:rPr>
                <w:sz w:val="18"/>
                <w:szCs w:val="18"/>
              </w:rPr>
              <w:t>93,3</w:t>
            </w:r>
          </w:p>
        </w:tc>
      </w:tr>
      <w:tr w:rsidR="001E4C98" w:rsidRPr="00225B8D" w:rsidTr="001E4C98">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4C98" w:rsidRPr="00225B8D" w:rsidRDefault="001E4C98" w:rsidP="00225B8D">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c>
          <w:tcPr>
            <w:tcW w:w="0" w:type="auto"/>
            <w:noWrap/>
            <w:vAlign w:val="center"/>
          </w:tcPr>
          <w:p w:rsidR="001E4C98" w:rsidRPr="001E4C98" w:rsidRDefault="001E4C98" w:rsidP="001E4C9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4C98">
              <w:rPr>
                <w:sz w:val="18"/>
                <w:szCs w:val="18"/>
              </w:rPr>
              <w:t>100,0</w:t>
            </w:r>
          </w:p>
        </w:tc>
      </w:tr>
      <w:tr w:rsidR="001E4C98" w:rsidRPr="00225B8D" w:rsidTr="001E4C9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4C98" w:rsidRPr="00225B8D" w:rsidRDefault="001E4C98" w:rsidP="00225B8D">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98,7</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91,7</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97,2</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88,1</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100,0</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73,6</w:t>
            </w:r>
          </w:p>
        </w:tc>
        <w:tc>
          <w:tcPr>
            <w:tcW w:w="0" w:type="auto"/>
            <w:noWrap/>
            <w:vAlign w:val="center"/>
          </w:tcPr>
          <w:p w:rsidR="001E4C98" w:rsidRPr="001E4C98" w:rsidRDefault="001E4C98" w:rsidP="001E4C98">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4C98">
              <w:rPr>
                <w:b/>
                <w:i/>
                <w:sz w:val="18"/>
                <w:szCs w:val="18"/>
              </w:rPr>
              <w:t>92,7</w:t>
            </w:r>
          </w:p>
        </w:tc>
      </w:tr>
    </w:tbl>
    <w:p w:rsidR="00225B8D" w:rsidRPr="00225B8D" w:rsidRDefault="00225B8D" w:rsidP="00225B8D">
      <w:pPr>
        <w:spacing w:after="200" w:line="276" w:lineRule="auto"/>
        <w:rPr>
          <w:rFonts w:eastAsia="Times New Roman" w:cs="Times New Roman"/>
          <w:szCs w:val="22"/>
          <w:lang w:eastAsia="es-ES"/>
        </w:rPr>
      </w:pPr>
    </w:p>
    <w:p w:rsidR="00225B8D" w:rsidRPr="00225B8D" w:rsidRDefault="00225B8D" w:rsidP="00225B8D">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sidR="001E4C98">
        <w:rPr>
          <w:rFonts w:eastAsia="Times New Roman" w:cs="Times New Roman"/>
          <w:szCs w:val="22"/>
          <w:lang w:eastAsia="es-ES"/>
        </w:rPr>
        <w:t>92,7</w:t>
      </w:r>
      <w:r w:rsidRPr="00225B8D">
        <w:rPr>
          <w:rFonts w:eastAsia="Times New Roman" w:cs="Times New Roman"/>
          <w:szCs w:val="22"/>
          <w:lang w:eastAsia="es-ES"/>
        </w:rPr>
        <w:t xml:space="preserve">%. </w:t>
      </w:r>
      <w:r w:rsidR="009E032A">
        <w:rPr>
          <w:rFonts w:eastAsia="Times New Roman" w:cs="Times New Roman"/>
          <w:szCs w:val="22"/>
          <w:lang w:eastAsia="es-ES"/>
        </w:rPr>
        <w:t>E</w:t>
      </w:r>
      <w:r w:rsidRPr="00225B8D">
        <w:rPr>
          <w:rFonts w:eastAsia="Times New Roman" w:cs="Times New Roman"/>
          <w:szCs w:val="22"/>
          <w:lang w:eastAsia="es-ES"/>
        </w:rPr>
        <w:t>l recurso a fuentes centralizadas para la publicación de diversas informaciones</w:t>
      </w:r>
      <w:r>
        <w:rPr>
          <w:rFonts w:eastAsia="Times New Roman" w:cs="Times New Roman"/>
          <w:szCs w:val="22"/>
          <w:lang w:eastAsia="es-ES"/>
        </w:rPr>
        <w:t xml:space="preserve"> y finalmente la falta de referencias a la fecha de la última revisión o actualización de la información publicada</w:t>
      </w:r>
      <w:r w:rsidRPr="00225B8D">
        <w:rPr>
          <w:rFonts w:eastAsia="Times New Roman" w:cs="Times New Roman"/>
          <w:szCs w:val="22"/>
          <w:lang w:eastAsia="es-ES"/>
        </w:rPr>
        <w:t>, son los dos factores que explican el nivel de cumplimiento alcanzado.</w:t>
      </w:r>
    </w:p>
    <w:p w:rsidR="009E032A" w:rsidRDefault="009E032A" w:rsidP="00F05E2C">
      <w:pPr>
        <w:pStyle w:val="Cuerpodelboletn"/>
        <w:rPr>
          <w:lang w:bidi="es-ES"/>
        </w:rPr>
      </w:pPr>
    </w:p>
    <w:bookmarkStart w:id="0" w:name="_GoBack"/>
    <w:bookmarkEnd w:id="0"/>
    <w:p w:rsidR="00FA5AFD" w:rsidRDefault="0094655E" w:rsidP="00F05E2C">
      <w:pPr>
        <w:pStyle w:val="Cuerpodelboletn"/>
        <w:rPr>
          <w:lang w:bidi="es-ES"/>
        </w:rPr>
      </w:pPr>
      <w:r w:rsidRPr="0094655E">
        <w:rPr>
          <w:b/>
          <w:noProof/>
          <w:color w:val="auto"/>
          <w:sz w:val="30"/>
          <w:szCs w:val="30"/>
          <w:lang w:eastAsia="es-ES"/>
        </w:rPr>
        <mc:AlternateContent>
          <mc:Choice Requires="wps">
            <w:drawing>
              <wp:anchor distT="0" distB="0" distL="114300" distR="114300" simplePos="0" relativeHeight="251727872" behindDoc="0" locked="0" layoutInCell="1" allowOverlap="1" wp14:anchorId="437D1672" wp14:editId="30D2DA99">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94655E">
        <w:rPr>
          <w:b/>
          <w:noProof/>
          <w:color w:val="auto"/>
          <w:sz w:val="30"/>
          <w:szCs w:val="30"/>
          <w:lang w:eastAsia="es-ES"/>
        </w:rPr>
        <mc:AlternateContent>
          <mc:Choice Requires="wps">
            <w:drawing>
              <wp:anchor distT="0" distB="0" distL="114300" distR="114300" simplePos="0" relativeHeight="251726848" behindDoc="0" locked="0" layoutInCell="1" allowOverlap="1" wp14:anchorId="6F6DCAB9" wp14:editId="62070CA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E032A" w:rsidRPr="00F31BC3" w:rsidRDefault="009E032A" w:rsidP="0094655E">
                            <w:r w:rsidRPr="00965C69">
                              <w:rPr>
                                <w:noProof/>
                                <w:lang w:eastAsia="es-ES"/>
                              </w:rPr>
                              <w:drawing>
                                <wp:inline distT="0" distB="0" distL="0" distR="0" wp14:anchorId="1007F4AB" wp14:editId="1C41FEA5">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94655E" w:rsidRPr="00F31BC3" w:rsidRDefault="0094655E" w:rsidP="0094655E">
                      <w:r w:rsidRPr="00965C69">
                        <w:rPr>
                          <w:noProof/>
                          <w:lang w:eastAsia="es-ES"/>
                        </w:rPr>
                        <w:drawing>
                          <wp:inline distT="0" distB="0" distL="0" distR="0" wp14:anchorId="1007F4AB" wp14:editId="1C41FEA5">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0"/>
          <w:szCs w:val="30"/>
        </w:rPr>
        <w:id w:val="-409474120"/>
        <w:placeholder>
          <w:docPart w:val="FD98A9A16E1C4E1DA3A066E830405301"/>
        </w:placeholder>
      </w:sdtPr>
      <w:sdtContent>
        <w:p w:rsidR="00C259F4" w:rsidRPr="002D27E4" w:rsidRDefault="00C259F4" w:rsidP="0094655E">
          <w:pPr>
            <w:pStyle w:val="Cuerpodelboletn"/>
            <w:numPr>
              <w:ilvl w:val="0"/>
              <w:numId w:val="21"/>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E032A" w:rsidRDefault="00225B8D" w:rsidP="00C02D3B">
      <w:pPr>
        <w:pStyle w:val="Cuerpodelboletn"/>
      </w:pPr>
      <w:r>
        <w:lastRenderedPageBreak/>
        <w:t>El cumplimiento</w:t>
      </w:r>
      <w:r w:rsidR="00C02D3B">
        <w:t xml:space="preserve"> de las obligaciones de publicidad activa por parte de</w:t>
      </w:r>
      <w:r w:rsidR="00045369">
        <w:t xml:space="preserve"> </w:t>
      </w:r>
      <w:r w:rsidR="00C02D3B">
        <w:t>l</w:t>
      </w:r>
      <w:r w:rsidR="00045369">
        <w:t>a</w:t>
      </w:r>
      <w:r w:rsidR="00C02D3B">
        <w:t xml:space="preserve"> </w:t>
      </w:r>
      <w:r w:rsidR="00045369">
        <w:t>Comunidad Autónoma de Castilla-La Mancha</w:t>
      </w:r>
      <w:r w:rsidR="00EC3D69">
        <w:t xml:space="preserve">, </w:t>
      </w:r>
      <w:r w:rsidR="009E032A">
        <w:t xml:space="preserve">se ha incrementado en 8,2 puntos porcentuales respecto de 2020. </w:t>
      </w:r>
    </w:p>
    <w:p w:rsidR="00C02D3B" w:rsidRDefault="009E032A" w:rsidP="00C02D3B">
      <w:pPr>
        <w:pStyle w:val="Cuerpodelboletn"/>
      </w:pPr>
      <w:r>
        <w:t xml:space="preserve">Por otra parte solo se ha aplicado una de las recomendaciones derivadas de la evaluación 2020. </w:t>
      </w:r>
      <w:r w:rsidR="00C02D3B">
        <w:t xml:space="preserve">Como </w:t>
      </w:r>
      <w:r w:rsidR="007B2613">
        <w:t>consecuencia de esto persisten</w:t>
      </w:r>
      <w:r w:rsidR="00C02D3B">
        <w:t xml:space="preserve"> déficits evidenciados en dicha evaluación: </w:t>
      </w:r>
    </w:p>
    <w:p w:rsidR="00D71587" w:rsidRPr="00D71587" w:rsidRDefault="00AD439D" w:rsidP="00D71587">
      <w:pPr>
        <w:pStyle w:val="Prrafodelista"/>
        <w:numPr>
          <w:ilvl w:val="0"/>
          <w:numId w:val="18"/>
        </w:numPr>
        <w:jc w:val="both"/>
        <w:rPr>
          <w:color w:val="000000"/>
        </w:rPr>
      </w:pPr>
      <w:r>
        <w:t>No se ha localizado</w:t>
      </w:r>
      <w:r w:rsidR="00D71587">
        <w:t xml:space="preserve"> información sobre las resoluciones que autoricen el ejercicio de actividad privada con motivo del cese de los altos cargos.</w:t>
      </w:r>
    </w:p>
    <w:p w:rsidR="00D71587" w:rsidRDefault="00D71587" w:rsidP="00D71587">
      <w:pPr>
        <w:pStyle w:val="Prrafodelista"/>
      </w:pPr>
    </w:p>
    <w:p w:rsidR="00E255A9" w:rsidRDefault="00D71587" w:rsidP="00E255A9">
      <w:pPr>
        <w:pStyle w:val="Prrafodelista"/>
        <w:numPr>
          <w:ilvl w:val="0"/>
          <w:numId w:val="18"/>
        </w:numPr>
        <w:jc w:val="both"/>
      </w:pPr>
      <w:r>
        <w:t>Debería publicarse en el Portal de Transparenci</w:t>
      </w:r>
      <w:r w:rsidR="00AD439D">
        <w:t>a</w:t>
      </w:r>
      <w:r>
        <w:t xml:space="preserve"> una referencia a la última fecha en que se revisó o actualizó la información. Solo de esta manera sería posible para la ciudadanía saber si la información que está consultando está vigente.</w:t>
      </w:r>
      <w:r w:rsidR="00AD439D">
        <w:t xml:space="preserve"> </w:t>
      </w:r>
    </w:p>
    <w:p w:rsidR="00E255A9" w:rsidRDefault="00E255A9" w:rsidP="00E255A9">
      <w:pPr>
        <w:pStyle w:val="Prrafodelista"/>
      </w:pPr>
    </w:p>
    <w:p w:rsidR="000E5A95" w:rsidRDefault="00E255A9" w:rsidP="00E255A9">
      <w:pPr>
        <w:pStyle w:val="Prrafodelista"/>
        <w:numPr>
          <w:ilvl w:val="0"/>
          <w:numId w:val="18"/>
        </w:numPr>
        <w:jc w:val="both"/>
      </w:pPr>
      <w:r>
        <w:t>S</w:t>
      </w:r>
      <w:r w:rsidR="000E5A95">
        <w:t>i no hubiese información reseñable</w:t>
      </w:r>
      <w:r>
        <w:t xml:space="preserve"> en relación con el contenido de un determinado apartado</w:t>
      </w:r>
      <w:r w:rsidR="000E5A95">
        <w:t xml:space="preserve">, </w:t>
      </w:r>
      <w:r w:rsidR="009E032A">
        <w:t xml:space="preserve">como es el caso de las autorizaciones para el ejercicio de actividades privadas al cese de altos cargos, </w:t>
      </w:r>
      <w:r w:rsidR="000E5A95">
        <w:t>debería hacerse constar tal circunstancia.</w:t>
      </w:r>
    </w:p>
    <w:p w:rsidR="00D71587" w:rsidRDefault="00D71587" w:rsidP="00D71587">
      <w:pPr>
        <w:pStyle w:val="Prrafodelista"/>
      </w:pPr>
    </w:p>
    <w:p w:rsidR="00C02D3B" w:rsidRDefault="00D71587" w:rsidP="00D71587">
      <w:pPr>
        <w:pStyle w:val="Prrafodelista"/>
        <w:numPr>
          <w:ilvl w:val="0"/>
          <w:numId w:val="18"/>
        </w:numPr>
        <w:jc w:val="both"/>
      </w:pPr>
      <w:r>
        <w:t>En cuanto a la información a la que se accede mediante fuentes centralizadas – Plataforma 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 y la LTBG.</w:t>
      </w:r>
    </w:p>
    <w:p w:rsidR="00C02D3B" w:rsidRDefault="00C02D3B" w:rsidP="00C02D3B">
      <w:pPr>
        <w:pStyle w:val="Cuerpodelboletn"/>
      </w:pPr>
    </w:p>
    <w:p w:rsidR="00C02D3B" w:rsidRDefault="00C02D3B" w:rsidP="00CC60B0">
      <w:pPr>
        <w:pStyle w:val="Cuerpodelboletn"/>
        <w:jc w:val="right"/>
      </w:pPr>
      <w:r>
        <w:t xml:space="preserve">Madrid, </w:t>
      </w:r>
      <w:r w:rsidR="009E032A">
        <w:t>enero</w:t>
      </w:r>
      <w:r>
        <w:t xml:space="preserve"> de 202</w:t>
      </w:r>
      <w:r w:rsidR="009E032A">
        <w:t>2</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E032A" w:rsidRPr="00F31BC3" w:rsidRDefault="009E032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7C58D1" w:rsidRPr="00F31BC3" w:rsidRDefault="007C58D1"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E032A" w:rsidRPr="00F31BC3" w:rsidRDefault="009E032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7C58D1" w:rsidRPr="00F31BC3" w:rsidRDefault="007C58D1"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2A" w:rsidRDefault="009E032A" w:rsidP="00F31BC3">
      <w:r>
        <w:separator/>
      </w:r>
    </w:p>
  </w:endnote>
  <w:endnote w:type="continuationSeparator" w:id="0">
    <w:p w:rsidR="009E032A" w:rsidRDefault="009E032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2A" w:rsidRDefault="009E032A" w:rsidP="00F31BC3">
      <w:r>
        <w:separator/>
      </w:r>
    </w:p>
  </w:footnote>
  <w:footnote w:type="continuationSeparator" w:id="0">
    <w:p w:rsidR="009E032A" w:rsidRDefault="009E032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0"/>
  </w:num>
  <w:num w:numId="5">
    <w:abstractNumId w:val="15"/>
  </w:num>
  <w:num w:numId="6">
    <w:abstractNumId w:val="16"/>
  </w:num>
  <w:num w:numId="7">
    <w:abstractNumId w:val="14"/>
  </w:num>
  <w:num w:numId="8">
    <w:abstractNumId w:val="1"/>
  </w:num>
  <w:num w:numId="9">
    <w:abstractNumId w:val="4"/>
  </w:num>
  <w:num w:numId="10">
    <w:abstractNumId w:val="3"/>
  </w:num>
  <w:num w:numId="11">
    <w:abstractNumId w:val="18"/>
  </w:num>
  <w:num w:numId="12">
    <w:abstractNumId w:val="11"/>
  </w:num>
  <w:num w:numId="13">
    <w:abstractNumId w:val="5"/>
  </w:num>
  <w:num w:numId="14">
    <w:abstractNumId w:val="19"/>
  </w:num>
  <w:num w:numId="15">
    <w:abstractNumId w:val="2"/>
  </w:num>
  <w:num w:numId="16">
    <w:abstractNumId w:val="20"/>
  </w:num>
  <w:num w:numId="17">
    <w:abstractNumId w:val="9"/>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45369"/>
    <w:rsid w:val="00053A0E"/>
    <w:rsid w:val="0005642F"/>
    <w:rsid w:val="00072B7E"/>
    <w:rsid w:val="000775A5"/>
    <w:rsid w:val="000A77F5"/>
    <w:rsid w:val="000D3907"/>
    <w:rsid w:val="000D5417"/>
    <w:rsid w:val="000E0A9E"/>
    <w:rsid w:val="000E5A95"/>
    <w:rsid w:val="00104DE9"/>
    <w:rsid w:val="00104E94"/>
    <w:rsid w:val="001149B1"/>
    <w:rsid w:val="00132732"/>
    <w:rsid w:val="00146C3C"/>
    <w:rsid w:val="00164876"/>
    <w:rsid w:val="001763F8"/>
    <w:rsid w:val="00183301"/>
    <w:rsid w:val="00187CDD"/>
    <w:rsid w:val="0019448F"/>
    <w:rsid w:val="001A0DA8"/>
    <w:rsid w:val="001A5305"/>
    <w:rsid w:val="001C3E2F"/>
    <w:rsid w:val="001C4509"/>
    <w:rsid w:val="001C7C78"/>
    <w:rsid w:val="001C7D84"/>
    <w:rsid w:val="001E4C98"/>
    <w:rsid w:val="001E5AAD"/>
    <w:rsid w:val="0021682B"/>
    <w:rsid w:val="00225B8D"/>
    <w:rsid w:val="00231D61"/>
    <w:rsid w:val="00243294"/>
    <w:rsid w:val="00244293"/>
    <w:rsid w:val="00244EDA"/>
    <w:rsid w:val="002467FA"/>
    <w:rsid w:val="00263F79"/>
    <w:rsid w:val="00271F20"/>
    <w:rsid w:val="002D0702"/>
    <w:rsid w:val="002D27E4"/>
    <w:rsid w:val="002E409F"/>
    <w:rsid w:val="0031769F"/>
    <w:rsid w:val="00333FA3"/>
    <w:rsid w:val="00347877"/>
    <w:rsid w:val="00355DC0"/>
    <w:rsid w:val="003A1694"/>
    <w:rsid w:val="003A390C"/>
    <w:rsid w:val="003B57E6"/>
    <w:rsid w:val="003B6B96"/>
    <w:rsid w:val="003D2A34"/>
    <w:rsid w:val="003D2C4A"/>
    <w:rsid w:val="003E564B"/>
    <w:rsid w:val="003E5D2F"/>
    <w:rsid w:val="003F6EDC"/>
    <w:rsid w:val="00415DBD"/>
    <w:rsid w:val="00420A46"/>
    <w:rsid w:val="00422B18"/>
    <w:rsid w:val="0043102C"/>
    <w:rsid w:val="0044623D"/>
    <w:rsid w:val="004720A5"/>
    <w:rsid w:val="0047735C"/>
    <w:rsid w:val="004859CC"/>
    <w:rsid w:val="004A1663"/>
    <w:rsid w:val="004C6440"/>
    <w:rsid w:val="004D50CC"/>
    <w:rsid w:val="004D7037"/>
    <w:rsid w:val="004E7B33"/>
    <w:rsid w:val="00506864"/>
    <w:rsid w:val="00523650"/>
    <w:rsid w:val="005301DF"/>
    <w:rsid w:val="00536832"/>
    <w:rsid w:val="00563295"/>
    <w:rsid w:val="005B1544"/>
    <w:rsid w:val="005C4778"/>
    <w:rsid w:val="005E2505"/>
    <w:rsid w:val="005E6704"/>
    <w:rsid w:val="00603DFC"/>
    <w:rsid w:val="006241AE"/>
    <w:rsid w:val="00633EAA"/>
    <w:rsid w:val="00641C15"/>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83202"/>
    <w:rsid w:val="00790143"/>
    <w:rsid w:val="007942B7"/>
    <w:rsid w:val="007954A6"/>
    <w:rsid w:val="007B2613"/>
    <w:rsid w:val="007C58D1"/>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5AAE"/>
    <w:rsid w:val="008F1625"/>
    <w:rsid w:val="00902A71"/>
    <w:rsid w:val="009039FD"/>
    <w:rsid w:val="00903FE0"/>
    <w:rsid w:val="00912DB4"/>
    <w:rsid w:val="009139A7"/>
    <w:rsid w:val="0094655E"/>
    <w:rsid w:val="009654DA"/>
    <w:rsid w:val="00965C69"/>
    <w:rsid w:val="00982299"/>
    <w:rsid w:val="009A03A4"/>
    <w:rsid w:val="009B75CD"/>
    <w:rsid w:val="009C5469"/>
    <w:rsid w:val="009D35A4"/>
    <w:rsid w:val="009D3CC3"/>
    <w:rsid w:val="009D4047"/>
    <w:rsid w:val="009D78D2"/>
    <w:rsid w:val="009E032A"/>
    <w:rsid w:val="009E049D"/>
    <w:rsid w:val="009E2E6F"/>
    <w:rsid w:val="009E7254"/>
    <w:rsid w:val="009F1E2C"/>
    <w:rsid w:val="00A03993"/>
    <w:rsid w:val="00A0626F"/>
    <w:rsid w:val="00A1361E"/>
    <w:rsid w:val="00A24E51"/>
    <w:rsid w:val="00A51AAD"/>
    <w:rsid w:val="00A82709"/>
    <w:rsid w:val="00AA0AE1"/>
    <w:rsid w:val="00AC2723"/>
    <w:rsid w:val="00AC4A48"/>
    <w:rsid w:val="00AC4A6F"/>
    <w:rsid w:val="00AD439D"/>
    <w:rsid w:val="00AD6065"/>
    <w:rsid w:val="00AE4F68"/>
    <w:rsid w:val="00AE6A4F"/>
    <w:rsid w:val="00AF5151"/>
    <w:rsid w:val="00B1184C"/>
    <w:rsid w:val="00B220EC"/>
    <w:rsid w:val="00B33A2F"/>
    <w:rsid w:val="00B5314A"/>
    <w:rsid w:val="00B56A3A"/>
    <w:rsid w:val="00B77C12"/>
    <w:rsid w:val="00B85EA1"/>
    <w:rsid w:val="00B87734"/>
    <w:rsid w:val="00BA03C4"/>
    <w:rsid w:val="00BA14E6"/>
    <w:rsid w:val="00BA3611"/>
    <w:rsid w:val="00BC61D1"/>
    <w:rsid w:val="00BD18E4"/>
    <w:rsid w:val="00BD1E44"/>
    <w:rsid w:val="00BD2172"/>
    <w:rsid w:val="00BD2842"/>
    <w:rsid w:val="00BF0241"/>
    <w:rsid w:val="00C02953"/>
    <w:rsid w:val="00C02D3B"/>
    <w:rsid w:val="00C1290B"/>
    <w:rsid w:val="00C213EC"/>
    <w:rsid w:val="00C24010"/>
    <w:rsid w:val="00C259F4"/>
    <w:rsid w:val="00C27705"/>
    <w:rsid w:val="00C3228C"/>
    <w:rsid w:val="00C4050E"/>
    <w:rsid w:val="00C4430D"/>
    <w:rsid w:val="00C451D3"/>
    <w:rsid w:val="00C54D21"/>
    <w:rsid w:val="00C555C6"/>
    <w:rsid w:val="00C61119"/>
    <w:rsid w:val="00C61E7F"/>
    <w:rsid w:val="00C66E73"/>
    <w:rsid w:val="00C91330"/>
    <w:rsid w:val="00CC48E8"/>
    <w:rsid w:val="00CC60B0"/>
    <w:rsid w:val="00CD3DE8"/>
    <w:rsid w:val="00CF21EB"/>
    <w:rsid w:val="00D014E1"/>
    <w:rsid w:val="00D01CA1"/>
    <w:rsid w:val="00D1453D"/>
    <w:rsid w:val="00D41F4C"/>
    <w:rsid w:val="00D520C8"/>
    <w:rsid w:val="00D70570"/>
    <w:rsid w:val="00D71587"/>
    <w:rsid w:val="00D96084"/>
    <w:rsid w:val="00DA6660"/>
    <w:rsid w:val="00DC0AAC"/>
    <w:rsid w:val="00DC5B52"/>
    <w:rsid w:val="00DD515F"/>
    <w:rsid w:val="00DF25D7"/>
    <w:rsid w:val="00DF50DC"/>
    <w:rsid w:val="00DF555F"/>
    <w:rsid w:val="00E023B5"/>
    <w:rsid w:val="00E133E0"/>
    <w:rsid w:val="00E17DF6"/>
    <w:rsid w:val="00E255A9"/>
    <w:rsid w:val="00E33169"/>
    <w:rsid w:val="00E51AC4"/>
    <w:rsid w:val="00E6528C"/>
    <w:rsid w:val="00E73F4D"/>
    <w:rsid w:val="00E77D81"/>
    <w:rsid w:val="00EC3D69"/>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225B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225B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7659">
      <w:bodyDiv w:val="1"/>
      <w:marLeft w:val="0"/>
      <w:marRight w:val="0"/>
      <w:marTop w:val="0"/>
      <w:marBottom w:val="0"/>
      <w:divBdr>
        <w:top w:val="none" w:sz="0" w:space="0" w:color="auto"/>
        <w:left w:val="none" w:sz="0" w:space="0" w:color="auto"/>
        <w:bottom w:val="none" w:sz="0" w:space="0" w:color="auto"/>
        <w:right w:val="none" w:sz="0" w:space="0" w:color="auto"/>
      </w:divBdr>
      <w:divsChild>
        <w:div w:id="1552183009">
          <w:marLeft w:val="0"/>
          <w:marRight w:val="0"/>
          <w:marTop w:val="0"/>
          <w:marBottom w:val="0"/>
          <w:divBdr>
            <w:top w:val="none" w:sz="0" w:space="0" w:color="auto"/>
            <w:left w:val="none" w:sz="0" w:space="0" w:color="auto"/>
            <w:bottom w:val="none" w:sz="0" w:space="0" w:color="auto"/>
            <w:right w:val="none" w:sz="0" w:space="0" w:color="auto"/>
          </w:divBdr>
        </w:div>
        <w:div w:id="1765371275">
          <w:marLeft w:val="0"/>
          <w:marRight w:val="0"/>
          <w:marTop w:val="0"/>
          <w:marBottom w:val="0"/>
          <w:divBdr>
            <w:top w:val="none" w:sz="0" w:space="0" w:color="auto"/>
            <w:left w:val="none" w:sz="0" w:space="0" w:color="auto"/>
            <w:bottom w:val="none" w:sz="0" w:space="0" w:color="auto"/>
            <w:right w:val="none" w:sz="0" w:space="0" w:color="auto"/>
          </w:divBdr>
        </w:div>
      </w:divsChild>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29F1"/>
    <w:rsid w:val="00583D19"/>
    <w:rsid w:val="005E1775"/>
    <w:rsid w:val="00787EBD"/>
    <w:rsid w:val="00837882"/>
    <w:rsid w:val="00861D94"/>
    <w:rsid w:val="008E118A"/>
    <w:rsid w:val="00AB484A"/>
    <w:rsid w:val="00C32372"/>
    <w:rsid w:val="00D30955"/>
    <w:rsid w:val="00DE3DE6"/>
    <w:rsid w:val="00E1016D"/>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9E17250-77A8-48C3-9E9D-D68BE11A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TotalTime>
  <Pages>4</Pages>
  <Words>1091</Words>
  <Characters>6003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2008-09-26T23:14:00Z</cp:lastPrinted>
  <dcterms:created xsi:type="dcterms:W3CDTF">2022-01-04T10:01:00Z</dcterms:created>
  <dcterms:modified xsi:type="dcterms:W3CDTF">2022-01-04T11:29:00Z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