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9B4962" w:rsidRDefault="009B4962"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 xml:space="preserve"> la Comunidad Autónoma de Madrid</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Content>
                        <w:p w:rsidR="00BF4048" w:rsidRDefault="00BF4048"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 xml:space="preserve"> la Comunidad Autónoma de Madrid</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9B4962" w:rsidRDefault="009B4962"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BF4048" w:rsidRDefault="00BF4048"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E958EE"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11033" w:type="dxa"/>
        <w:tblLayout w:type="fixed"/>
        <w:tblLook w:val="04A0" w:firstRow="1" w:lastRow="0" w:firstColumn="1" w:lastColumn="0" w:noHBand="0" w:noVBand="1"/>
      </w:tblPr>
      <w:tblGrid>
        <w:gridCol w:w="2037"/>
        <w:gridCol w:w="4439"/>
        <w:gridCol w:w="1145"/>
        <w:gridCol w:w="3412"/>
      </w:tblGrid>
      <w:tr w:rsidR="007F1D56" w:rsidRPr="007942B7" w:rsidTr="000B49E9">
        <w:tc>
          <w:tcPr>
            <w:tcW w:w="2037"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584"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412"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C80C02" w:rsidRPr="007942B7" w:rsidTr="000B49E9">
        <w:tc>
          <w:tcPr>
            <w:tcW w:w="2037" w:type="dxa"/>
          </w:tcPr>
          <w:p w:rsidR="00C80C02" w:rsidRDefault="00C80C02" w:rsidP="00AC4A6F">
            <w:pPr>
              <w:rPr>
                <w:sz w:val="20"/>
                <w:szCs w:val="20"/>
              </w:rPr>
            </w:pPr>
          </w:p>
          <w:p w:rsidR="00C80C02" w:rsidRPr="007942B7" w:rsidRDefault="00C80C02" w:rsidP="00AC4A6F">
            <w:pPr>
              <w:rPr>
                <w:sz w:val="20"/>
                <w:szCs w:val="20"/>
              </w:rPr>
            </w:pPr>
            <w:r w:rsidRPr="007942B7">
              <w:rPr>
                <w:sz w:val="20"/>
                <w:szCs w:val="20"/>
              </w:rPr>
              <w:t>Localización y estructuración de la Información</w:t>
            </w:r>
          </w:p>
        </w:tc>
        <w:tc>
          <w:tcPr>
            <w:tcW w:w="4439" w:type="dxa"/>
          </w:tcPr>
          <w:p w:rsidR="00C80C02" w:rsidRPr="007942B7" w:rsidRDefault="00133246" w:rsidP="00AA7C77">
            <w:pPr>
              <w:rPr>
                <w:sz w:val="20"/>
                <w:szCs w:val="20"/>
              </w:rPr>
            </w:pPr>
            <w:r>
              <w:rPr>
                <w:sz w:val="20"/>
                <w:szCs w:val="20"/>
              </w:rPr>
              <w:t>Información estructurada conforme a  LTAIBG o Ley autonómica</w:t>
            </w:r>
          </w:p>
        </w:tc>
        <w:tc>
          <w:tcPr>
            <w:tcW w:w="1145" w:type="dxa"/>
            <w:vAlign w:val="center"/>
          </w:tcPr>
          <w:p w:rsidR="00C80C02" w:rsidRDefault="00C80C02" w:rsidP="00183301">
            <w:pPr>
              <w:jc w:val="center"/>
              <w:rPr>
                <w:sz w:val="20"/>
                <w:szCs w:val="20"/>
              </w:rPr>
            </w:pPr>
          </w:p>
        </w:tc>
        <w:tc>
          <w:tcPr>
            <w:tcW w:w="3412" w:type="dxa"/>
          </w:tcPr>
          <w:p w:rsidR="00C80C02" w:rsidRDefault="00C80C02" w:rsidP="004668B8">
            <w:pPr>
              <w:rPr>
                <w:sz w:val="20"/>
                <w:szCs w:val="20"/>
              </w:rPr>
            </w:pPr>
          </w:p>
        </w:tc>
      </w:tr>
      <w:tr w:rsidR="0062568F" w:rsidRPr="007942B7" w:rsidTr="000B49E9">
        <w:tc>
          <w:tcPr>
            <w:tcW w:w="2037" w:type="dxa"/>
            <w:vMerge w:val="restart"/>
            <w:vAlign w:val="center"/>
          </w:tcPr>
          <w:p w:rsidR="0062568F" w:rsidRPr="00C3228C" w:rsidRDefault="0062568F" w:rsidP="006D4C90">
            <w:pPr>
              <w:rPr>
                <w:sz w:val="20"/>
                <w:szCs w:val="20"/>
              </w:rPr>
            </w:pPr>
            <w:r w:rsidRPr="00C3228C">
              <w:rPr>
                <w:sz w:val="20"/>
                <w:szCs w:val="20"/>
              </w:rPr>
              <w:t>Publicación de Contenidos</w:t>
            </w:r>
          </w:p>
        </w:tc>
        <w:tc>
          <w:tcPr>
            <w:tcW w:w="4439" w:type="dxa"/>
          </w:tcPr>
          <w:p w:rsidR="0062568F" w:rsidRDefault="00D5313C" w:rsidP="00D5313C">
            <w:pPr>
              <w:rPr>
                <w:sz w:val="20"/>
                <w:szCs w:val="20"/>
              </w:rPr>
            </w:pPr>
            <w:r>
              <w:rPr>
                <w:sz w:val="20"/>
                <w:szCs w:val="20"/>
              </w:rPr>
              <w:t>P</w:t>
            </w:r>
            <w:r w:rsidRPr="00D5313C">
              <w:rPr>
                <w:sz w:val="20"/>
                <w:szCs w:val="20"/>
              </w:rPr>
              <w:t>ublicar información sobre las resoluciones que autoricen el ejercicio de actividad privada con motivo del cese de los altos cargos</w:t>
            </w:r>
          </w:p>
        </w:tc>
        <w:tc>
          <w:tcPr>
            <w:tcW w:w="1145" w:type="dxa"/>
            <w:vAlign w:val="center"/>
          </w:tcPr>
          <w:p w:rsidR="0062568F" w:rsidRDefault="00617C4C" w:rsidP="00183301">
            <w:pPr>
              <w:jc w:val="center"/>
              <w:rPr>
                <w:sz w:val="20"/>
                <w:szCs w:val="20"/>
              </w:rPr>
            </w:pPr>
            <w:r>
              <w:rPr>
                <w:sz w:val="20"/>
                <w:szCs w:val="20"/>
              </w:rPr>
              <w:t>X</w:t>
            </w:r>
          </w:p>
        </w:tc>
        <w:tc>
          <w:tcPr>
            <w:tcW w:w="3412" w:type="dxa"/>
          </w:tcPr>
          <w:p w:rsidR="0062568F" w:rsidRPr="007942B7" w:rsidRDefault="00B005EA" w:rsidP="00AC4A6F">
            <w:pPr>
              <w:rPr>
                <w:sz w:val="20"/>
                <w:szCs w:val="20"/>
              </w:rPr>
            </w:pPr>
            <w:r>
              <w:rPr>
                <w:sz w:val="20"/>
                <w:szCs w:val="20"/>
              </w:rPr>
              <w:t>No se ha localizado</w:t>
            </w:r>
          </w:p>
        </w:tc>
      </w:tr>
      <w:tr w:rsidR="0062568F" w:rsidRPr="007942B7" w:rsidTr="000B49E9">
        <w:tc>
          <w:tcPr>
            <w:tcW w:w="2037" w:type="dxa"/>
            <w:vMerge/>
          </w:tcPr>
          <w:p w:rsidR="0062568F" w:rsidRPr="007942B7" w:rsidRDefault="0062568F" w:rsidP="00AC4A6F">
            <w:pPr>
              <w:rPr>
                <w:sz w:val="20"/>
                <w:szCs w:val="20"/>
              </w:rPr>
            </w:pPr>
          </w:p>
        </w:tc>
        <w:tc>
          <w:tcPr>
            <w:tcW w:w="4439" w:type="dxa"/>
          </w:tcPr>
          <w:p w:rsidR="0062568F" w:rsidRPr="007942B7" w:rsidRDefault="00B005EA" w:rsidP="00D5313C">
            <w:pPr>
              <w:rPr>
                <w:sz w:val="20"/>
                <w:szCs w:val="20"/>
              </w:rPr>
            </w:pPr>
            <w:r>
              <w:rPr>
                <w:sz w:val="20"/>
                <w:szCs w:val="20"/>
              </w:rPr>
              <w:t>P</w:t>
            </w:r>
            <w:r w:rsidR="00D5313C" w:rsidRPr="00D5313C">
              <w:rPr>
                <w:sz w:val="20"/>
                <w:szCs w:val="20"/>
              </w:rPr>
              <w:t xml:space="preserve">ara aquellas informaciones en las que no hubiese actividad, </w:t>
            </w:r>
            <w:r w:rsidR="00D5313C">
              <w:rPr>
                <w:sz w:val="20"/>
                <w:szCs w:val="20"/>
              </w:rPr>
              <w:t>hacer constar</w:t>
            </w:r>
            <w:r w:rsidR="00D5313C" w:rsidRPr="00D5313C">
              <w:rPr>
                <w:sz w:val="20"/>
                <w:szCs w:val="20"/>
              </w:rPr>
              <w:t xml:space="preserve"> </w:t>
            </w:r>
            <w:r w:rsidR="00D5313C">
              <w:rPr>
                <w:sz w:val="20"/>
                <w:szCs w:val="20"/>
              </w:rPr>
              <w:t>e</w:t>
            </w:r>
            <w:r w:rsidR="00D5313C" w:rsidRPr="00D5313C">
              <w:rPr>
                <w:sz w:val="20"/>
                <w:szCs w:val="20"/>
              </w:rPr>
              <w:t>n el apartado correspondiente  esta circunstancia</w:t>
            </w:r>
          </w:p>
        </w:tc>
        <w:tc>
          <w:tcPr>
            <w:tcW w:w="1145" w:type="dxa"/>
            <w:vAlign w:val="center"/>
          </w:tcPr>
          <w:p w:rsidR="0062568F" w:rsidRPr="007942B7" w:rsidRDefault="00617C4C" w:rsidP="00183301">
            <w:pPr>
              <w:jc w:val="center"/>
              <w:rPr>
                <w:sz w:val="20"/>
                <w:szCs w:val="20"/>
              </w:rPr>
            </w:pPr>
            <w:r>
              <w:rPr>
                <w:sz w:val="20"/>
                <w:szCs w:val="20"/>
              </w:rPr>
              <w:t>X</w:t>
            </w:r>
          </w:p>
        </w:tc>
        <w:tc>
          <w:tcPr>
            <w:tcW w:w="3412" w:type="dxa"/>
          </w:tcPr>
          <w:p w:rsidR="0062568F" w:rsidRPr="007942B7" w:rsidRDefault="00B005EA" w:rsidP="00AC4A6F">
            <w:pPr>
              <w:rPr>
                <w:sz w:val="20"/>
                <w:szCs w:val="20"/>
              </w:rPr>
            </w:pPr>
            <w:r>
              <w:rPr>
                <w:sz w:val="20"/>
                <w:szCs w:val="20"/>
              </w:rPr>
              <w:t>No se ha localizado información sin actividad</w:t>
            </w:r>
          </w:p>
        </w:tc>
      </w:tr>
      <w:tr w:rsidR="00C80C02" w:rsidRPr="007942B7" w:rsidTr="000B49E9">
        <w:trPr>
          <w:trHeight w:val="265"/>
        </w:trPr>
        <w:tc>
          <w:tcPr>
            <w:tcW w:w="2037" w:type="dxa"/>
            <w:vMerge w:val="restart"/>
            <w:vAlign w:val="center"/>
          </w:tcPr>
          <w:p w:rsidR="00C80C02" w:rsidRPr="007942B7" w:rsidRDefault="00C80C02" w:rsidP="006D4C90">
            <w:pPr>
              <w:rPr>
                <w:sz w:val="20"/>
                <w:szCs w:val="20"/>
              </w:rPr>
            </w:pPr>
            <w:r w:rsidRPr="007942B7">
              <w:rPr>
                <w:sz w:val="20"/>
                <w:szCs w:val="20"/>
              </w:rPr>
              <w:t xml:space="preserve">Calidad de la Información </w:t>
            </w:r>
          </w:p>
        </w:tc>
        <w:tc>
          <w:tcPr>
            <w:tcW w:w="4439" w:type="dxa"/>
          </w:tcPr>
          <w:p w:rsidR="00C80C02" w:rsidRPr="007942B7" w:rsidRDefault="00C80C02" w:rsidP="00243294">
            <w:pPr>
              <w:rPr>
                <w:sz w:val="20"/>
                <w:szCs w:val="20"/>
              </w:rPr>
            </w:pPr>
            <w:r w:rsidRPr="007942B7">
              <w:rPr>
                <w:sz w:val="20"/>
                <w:szCs w:val="20"/>
              </w:rPr>
              <w:t>Estructuración</w:t>
            </w:r>
          </w:p>
        </w:tc>
        <w:tc>
          <w:tcPr>
            <w:tcW w:w="1145" w:type="dxa"/>
            <w:vAlign w:val="center"/>
          </w:tcPr>
          <w:p w:rsidR="00C80C02" w:rsidRPr="00183301" w:rsidRDefault="00C80C02" w:rsidP="00183301">
            <w:pPr>
              <w:jc w:val="center"/>
              <w:rPr>
                <w:sz w:val="20"/>
                <w:szCs w:val="20"/>
              </w:rPr>
            </w:pPr>
          </w:p>
        </w:tc>
        <w:tc>
          <w:tcPr>
            <w:tcW w:w="3412" w:type="dxa"/>
          </w:tcPr>
          <w:p w:rsidR="00C80C02" w:rsidRPr="007942B7" w:rsidRDefault="00C80C02" w:rsidP="00AC4A6F">
            <w:pPr>
              <w:rPr>
                <w:sz w:val="20"/>
                <w:szCs w:val="20"/>
              </w:rPr>
            </w:pPr>
          </w:p>
        </w:tc>
      </w:tr>
      <w:tr w:rsidR="00C80C02" w:rsidRPr="007942B7" w:rsidTr="000B49E9">
        <w:tc>
          <w:tcPr>
            <w:tcW w:w="2037" w:type="dxa"/>
            <w:vMerge/>
          </w:tcPr>
          <w:p w:rsidR="00C80C02" w:rsidRPr="007942B7" w:rsidRDefault="00C80C02" w:rsidP="00AC4A6F">
            <w:pPr>
              <w:rPr>
                <w:sz w:val="20"/>
                <w:szCs w:val="20"/>
              </w:rPr>
            </w:pPr>
          </w:p>
        </w:tc>
        <w:tc>
          <w:tcPr>
            <w:tcW w:w="4439" w:type="dxa"/>
          </w:tcPr>
          <w:p w:rsidR="00C80C02" w:rsidRPr="007942B7" w:rsidRDefault="00C80C02" w:rsidP="00AC4A6F">
            <w:pPr>
              <w:rPr>
                <w:sz w:val="20"/>
                <w:szCs w:val="20"/>
              </w:rPr>
            </w:pPr>
            <w:r w:rsidRPr="007942B7">
              <w:rPr>
                <w:sz w:val="20"/>
                <w:szCs w:val="20"/>
              </w:rPr>
              <w:t>Accesibilidad</w:t>
            </w:r>
          </w:p>
        </w:tc>
        <w:tc>
          <w:tcPr>
            <w:tcW w:w="1145" w:type="dxa"/>
            <w:vAlign w:val="center"/>
          </w:tcPr>
          <w:p w:rsidR="00C80C02" w:rsidRPr="00183301" w:rsidRDefault="00617C4C" w:rsidP="00183301">
            <w:pPr>
              <w:jc w:val="center"/>
              <w:rPr>
                <w:sz w:val="20"/>
                <w:szCs w:val="20"/>
              </w:rPr>
            </w:pPr>
            <w:r>
              <w:rPr>
                <w:sz w:val="20"/>
                <w:szCs w:val="20"/>
              </w:rPr>
              <w:t>X</w:t>
            </w:r>
          </w:p>
        </w:tc>
        <w:tc>
          <w:tcPr>
            <w:tcW w:w="3412" w:type="dxa"/>
          </w:tcPr>
          <w:p w:rsidR="004430AC" w:rsidRPr="007942B7" w:rsidRDefault="006204FA" w:rsidP="004430AC">
            <w:pPr>
              <w:rPr>
                <w:sz w:val="20"/>
                <w:szCs w:val="20"/>
              </w:rPr>
            </w:pPr>
            <w:r>
              <w:rPr>
                <w:sz w:val="20"/>
                <w:szCs w:val="20"/>
              </w:rPr>
              <w:t>Se ha incluido un buscador específico de contratos, además de remitir al perfil del contratante.</w:t>
            </w:r>
            <w:r w:rsidR="00056BE5">
              <w:rPr>
                <w:sz w:val="20"/>
                <w:szCs w:val="20"/>
              </w:rPr>
              <w:t xml:space="preserve"> Existe un buscador de subvenciones al que no se ha podido acceder.</w:t>
            </w:r>
          </w:p>
        </w:tc>
      </w:tr>
      <w:tr w:rsidR="00C80C02" w:rsidRPr="007942B7" w:rsidTr="000B49E9">
        <w:tc>
          <w:tcPr>
            <w:tcW w:w="2037" w:type="dxa"/>
            <w:vMerge/>
          </w:tcPr>
          <w:p w:rsidR="00C80C02" w:rsidRPr="007942B7" w:rsidRDefault="00C80C02" w:rsidP="00AC4A6F">
            <w:pPr>
              <w:rPr>
                <w:sz w:val="20"/>
                <w:szCs w:val="20"/>
              </w:rPr>
            </w:pPr>
          </w:p>
        </w:tc>
        <w:tc>
          <w:tcPr>
            <w:tcW w:w="4439" w:type="dxa"/>
          </w:tcPr>
          <w:p w:rsidR="00C80C02" w:rsidRPr="007942B7" w:rsidRDefault="00C80C02" w:rsidP="00AC4A6F">
            <w:pPr>
              <w:rPr>
                <w:sz w:val="20"/>
                <w:szCs w:val="20"/>
              </w:rPr>
            </w:pPr>
            <w:r w:rsidRPr="007942B7">
              <w:rPr>
                <w:sz w:val="20"/>
                <w:szCs w:val="20"/>
              </w:rPr>
              <w:t>Claridad</w:t>
            </w:r>
          </w:p>
        </w:tc>
        <w:tc>
          <w:tcPr>
            <w:tcW w:w="1145" w:type="dxa"/>
            <w:vAlign w:val="center"/>
          </w:tcPr>
          <w:p w:rsidR="00C80C02" w:rsidRPr="00183301" w:rsidRDefault="00C80C02" w:rsidP="00183301">
            <w:pPr>
              <w:jc w:val="center"/>
              <w:rPr>
                <w:sz w:val="20"/>
                <w:szCs w:val="20"/>
              </w:rPr>
            </w:pPr>
          </w:p>
        </w:tc>
        <w:tc>
          <w:tcPr>
            <w:tcW w:w="3412" w:type="dxa"/>
          </w:tcPr>
          <w:p w:rsidR="00C80C02" w:rsidRPr="007942B7" w:rsidRDefault="00C80C02" w:rsidP="00AC4A6F">
            <w:pPr>
              <w:rPr>
                <w:sz w:val="20"/>
                <w:szCs w:val="20"/>
              </w:rPr>
            </w:pPr>
          </w:p>
        </w:tc>
      </w:tr>
      <w:tr w:rsidR="00C80C02" w:rsidRPr="007942B7" w:rsidTr="000B49E9">
        <w:tc>
          <w:tcPr>
            <w:tcW w:w="2037" w:type="dxa"/>
            <w:vMerge/>
          </w:tcPr>
          <w:p w:rsidR="00C80C02" w:rsidRPr="007942B7" w:rsidRDefault="00C80C02" w:rsidP="00AC4A6F">
            <w:pPr>
              <w:rPr>
                <w:sz w:val="20"/>
                <w:szCs w:val="20"/>
              </w:rPr>
            </w:pPr>
          </w:p>
        </w:tc>
        <w:tc>
          <w:tcPr>
            <w:tcW w:w="4439" w:type="dxa"/>
          </w:tcPr>
          <w:p w:rsidR="00C80C02" w:rsidRPr="007942B7" w:rsidRDefault="00C80C02" w:rsidP="00AC4A6F">
            <w:pPr>
              <w:rPr>
                <w:sz w:val="20"/>
                <w:szCs w:val="20"/>
              </w:rPr>
            </w:pPr>
            <w:r w:rsidRPr="007942B7">
              <w:rPr>
                <w:sz w:val="20"/>
                <w:szCs w:val="20"/>
              </w:rPr>
              <w:t xml:space="preserve">Reutilización </w:t>
            </w:r>
          </w:p>
        </w:tc>
        <w:tc>
          <w:tcPr>
            <w:tcW w:w="1145" w:type="dxa"/>
            <w:vAlign w:val="center"/>
          </w:tcPr>
          <w:p w:rsidR="00C80C02" w:rsidRPr="007942B7" w:rsidRDefault="00617C4C" w:rsidP="00183301">
            <w:pPr>
              <w:jc w:val="center"/>
              <w:rPr>
                <w:sz w:val="20"/>
                <w:szCs w:val="20"/>
              </w:rPr>
            </w:pPr>
            <w:r>
              <w:rPr>
                <w:sz w:val="20"/>
                <w:szCs w:val="20"/>
              </w:rPr>
              <w:t>X</w:t>
            </w:r>
          </w:p>
        </w:tc>
        <w:tc>
          <w:tcPr>
            <w:tcW w:w="3412" w:type="dxa"/>
          </w:tcPr>
          <w:p w:rsidR="00C80C02" w:rsidRPr="007942B7" w:rsidRDefault="00617C4C" w:rsidP="00BA14E6">
            <w:pPr>
              <w:rPr>
                <w:sz w:val="20"/>
                <w:szCs w:val="20"/>
              </w:rPr>
            </w:pPr>
            <w:r>
              <w:rPr>
                <w:sz w:val="20"/>
                <w:szCs w:val="20"/>
              </w:rPr>
              <w:t>Revisión de oficio. La información se publica en formatos reutilizables</w:t>
            </w:r>
          </w:p>
        </w:tc>
      </w:tr>
      <w:tr w:rsidR="00C80C02" w:rsidRPr="007942B7" w:rsidTr="000B49E9">
        <w:tc>
          <w:tcPr>
            <w:tcW w:w="2037" w:type="dxa"/>
            <w:vMerge/>
          </w:tcPr>
          <w:p w:rsidR="00C80C02" w:rsidRPr="007942B7" w:rsidRDefault="00C80C02" w:rsidP="00AC4A6F">
            <w:pPr>
              <w:rPr>
                <w:sz w:val="20"/>
                <w:szCs w:val="20"/>
              </w:rPr>
            </w:pPr>
          </w:p>
        </w:tc>
        <w:tc>
          <w:tcPr>
            <w:tcW w:w="4439" w:type="dxa"/>
          </w:tcPr>
          <w:p w:rsidR="00C80C02" w:rsidRPr="007942B7" w:rsidRDefault="00C80C02" w:rsidP="00AC4A6F">
            <w:pPr>
              <w:rPr>
                <w:sz w:val="20"/>
                <w:szCs w:val="20"/>
              </w:rPr>
            </w:pPr>
            <w:r w:rsidRPr="007942B7">
              <w:rPr>
                <w:sz w:val="20"/>
                <w:szCs w:val="20"/>
              </w:rPr>
              <w:t>Datación y Actualización</w:t>
            </w:r>
          </w:p>
        </w:tc>
        <w:tc>
          <w:tcPr>
            <w:tcW w:w="1145" w:type="dxa"/>
            <w:vAlign w:val="center"/>
          </w:tcPr>
          <w:p w:rsidR="00C80C02" w:rsidRPr="007942B7" w:rsidRDefault="00617C4C" w:rsidP="00183301">
            <w:pPr>
              <w:jc w:val="center"/>
              <w:rPr>
                <w:sz w:val="20"/>
                <w:szCs w:val="20"/>
              </w:rPr>
            </w:pPr>
            <w:r>
              <w:rPr>
                <w:sz w:val="20"/>
                <w:szCs w:val="20"/>
              </w:rPr>
              <w:t>X</w:t>
            </w:r>
          </w:p>
        </w:tc>
        <w:tc>
          <w:tcPr>
            <w:tcW w:w="3412" w:type="dxa"/>
          </w:tcPr>
          <w:p w:rsidR="00C80C02" w:rsidRPr="007942B7" w:rsidRDefault="009D2412" w:rsidP="00133246">
            <w:pPr>
              <w:rPr>
                <w:sz w:val="20"/>
                <w:szCs w:val="20"/>
              </w:rPr>
            </w:pPr>
            <w:r w:rsidRPr="009D2412">
              <w:rPr>
                <w:sz w:val="20"/>
                <w:szCs w:val="20"/>
              </w:rPr>
              <w:t>No en todas las secciones del portal se indica la fecha de la última actualización</w:t>
            </w:r>
          </w:p>
        </w:tc>
      </w:tr>
      <w:tr w:rsidR="000B49E9" w:rsidRPr="001C7D84" w:rsidTr="000B49E9">
        <w:tc>
          <w:tcPr>
            <w:tcW w:w="6476" w:type="dxa"/>
            <w:gridSpan w:val="2"/>
          </w:tcPr>
          <w:p w:rsidR="000B49E9" w:rsidRPr="001C7D84" w:rsidRDefault="000B49E9" w:rsidP="001C7D84">
            <w:pPr>
              <w:jc w:val="right"/>
              <w:rPr>
                <w:b/>
                <w:sz w:val="20"/>
                <w:szCs w:val="20"/>
              </w:rPr>
            </w:pPr>
            <w:r w:rsidRPr="001C7D84">
              <w:rPr>
                <w:b/>
                <w:sz w:val="20"/>
                <w:szCs w:val="20"/>
              </w:rPr>
              <w:t>Total Recomendaciones</w:t>
            </w:r>
          </w:p>
        </w:tc>
        <w:tc>
          <w:tcPr>
            <w:tcW w:w="1145" w:type="dxa"/>
            <w:vAlign w:val="center"/>
          </w:tcPr>
          <w:p w:rsidR="000B49E9" w:rsidRPr="001C7D84" w:rsidRDefault="000629BE" w:rsidP="00807495">
            <w:pPr>
              <w:jc w:val="center"/>
              <w:rPr>
                <w:b/>
                <w:sz w:val="20"/>
                <w:szCs w:val="20"/>
              </w:rPr>
            </w:pPr>
            <w:r>
              <w:rPr>
                <w:b/>
                <w:sz w:val="20"/>
                <w:szCs w:val="20"/>
              </w:rPr>
              <w:t>5</w:t>
            </w:r>
          </w:p>
        </w:tc>
        <w:tc>
          <w:tcPr>
            <w:tcW w:w="3412" w:type="dxa"/>
          </w:tcPr>
          <w:p w:rsidR="000B49E9" w:rsidRPr="001C7D84" w:rsidRDefault="000B49E9" w:rsidP="00AC4A6F">
            <w:pPr>
              <w:rPr>
                <w:b/>
                <w:sz w:val="20"/>
                <w:szCs w:val="20"/>
              </w:rPr>
            </w:pPr>
          </w:p>
        </w:tc>
      </w:tr>
      <w:tr w:rsidR="00C80C02" w:rsidRPr="001C7D84" w:rsidTr="000B49E9">
        <w:tc>
          <w:tcPr>
            <w:tcW w:w="6476" w:type="dxa"/>
            <w:gridSpan w:val="2"/>
          </w:tcPr>
          <w:p w:rsidR="00C80C02" w:rsidRPr="001C7D84" w:rsidRDefault="00C80C02" w:rsidP="001C7D84">
            <w:pPr>
              <w:jc w:val="right"/>
              <w:rPr>
                <w:b/>
                <w:sz w:val="20"/>
                <w:szCs w:val="20"/>
              </w:rPr>
            </w:pPr>
          </w:p>
        </w:tc>
        <w:tc>
          <w:tcPr>
            <w:tcW w:w="1145" w:type="dxa"/>
            <w:vAlign w:val="center"/>
          </w:tcPr>
          <w:p w:rsidR="00C80C02" w:rsidRPr="001C7D84" w:rsidRDefault="00C80C02" w:rsidP="00807495">
            <w:pPr>
              <w:jc w:val="center"/>
              <w:rPr>
                <w:b/>
                <w:sz w:val="20"/>
                <w:szCs w:val="20"/>
              </w:rPr>
            </w:pPr>
          </w:p>
        </w:tc>
        <w:tc>
          <w:tcPr>
            <w:tcW w:w="3412" w:type="dxa"/>
          </w:tcPr>
          <w:p w:rsidR="00C80C02" w:rsidRPr="001C7D84" w:rsidRDefault="00C80C02" w:rsidP="00AC4A6F">
            <w:pPr>
              <w:rPr>
                <w:b/>
                <w:sz w:val="20"/>
                <w:szCs w:val="20"/>
              </w:rPr>
            </w:pPr>
          </w:p>
        </w:tc>
      </w:tr>
    </w:tbl>
    <w:p w:rsidR="003A1694" w:rsidRDefault="003A1694" w:rsidP="00AC4A6F"/>
    <w:p w:rsidR="00FA5AFD" w:rsidRDefault="00FA5AFD" w:rsidP="00AC4A6F"/>
    <w:p w:rsidR="00E17DF6" w:rsidRDefault="00BF4048" w:rsidP="00AC4A6F">
      <w:r>
        <w:t xml:space="preserve">La Comunidad de Madrid ha aplicado </w:t>
      </w:r>
      <w:r w:rsidR="00E958EE">
        <w:t>una de las recomendaciones derivadas de la evaluación efectuada por este Consejo en 2020.</w:t>
      </w:r>
    </w:p>
    <w:p w:rsidR="001F51B6" w:rsidRDefault="001F51B6" w:rsidP="00876480">
      <w:pPr>
        <w:jc w:val="both"/>
      </w:pPr>
    </w:p>
    <w:p w:rsidR="00CC60B0" w:rsidRDefault="00CC60B0" w:rsidP="00C02D3B"/>
    <w:p w:rsidR="001E0563" w:rsidRDefault="001E0563" w:rsidP="00C02D3B"/>
    <w:p w:rsidR="001E0563" w:rsidRDefault="001E0563" w:rsidP="00C02D3B"/>
    <w:p w:rsidR="003F6EDC" w:rsidRPr="00C02D3B" w:rsidRDefault="002D27E4" w:rsidP="00C02D3B">
      <w:pPr>
        <w:rPr>
          <w:b/>
          <w:color w:val="50866C"/>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12512" behindDoc="0" locked="0" layoutInCell="1" allowOverlap="1" wp14:anchorId="71FF2C79" wp14:editId="655A0090">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48D46FA6" wp14:editId="18CC1D42">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B4962" w:rsidRPr="00F31BC3" w:rsidRDefault="009B4962" w:rsidP="002D27E4">
                            <w:r w:rsidRPr="00965C69">
                              <w:rPr>
                                <w:noProof/>
                                <w:lang w:eastAsia="es-ES"/>
                              </w:rPr>
                              <w:drawing>
                                <wp:inline distT="0" distB="0" distL="0" distR="0" wp14:anchorId="58DCCC4F" wp14:editId="2996C8F2">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BF4048" w:rsidRPr="00F31BC3" w:rsidRDefault="00BF4048" w:rsidP="002D27E4">
                      <w:r w:rsidRPr="00965C69">
                        <w:rPr>
                          <w:noProof/>
                          <w:lang w:eastAsia="es-ES"/>
                        </w:rPr>
                        <w:drawing>
                          <wp:inline distT="0" distB="0" distL="0" distR="0" wp14:anchorId="58DCCC4F" wp14:editId="2996C8F2">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id w:val="37865676"/>
          <w:placeholder>
            <w:docPart w:val="07033FA691034FE1ABDD22E05C700155"/>
          </w:placeholder>
        </w:sdtPr>
        <w:sdtContent>
          <w:r w:rsidR="00C02D3B" w:rsidRPr="00C02D3B">
            <w:rPr>
              <w:b/>
              <w:color w:val="50866C"/>
              <w:sz w:val="30"/>
              <w:szCs w:val="30"/>
            </w:rPr>
            <w:t xml:space="preserve">II </w:t>
          </w:r>
          <w:r w:rsidR="003A1694" w:rsidRPr="00C02D3B">
            <w:rPr>
              <w:b/>
              <w:color w:val="50866C"/>
              <w:sz w:val="30"/>
              <w:szCs w:val="30"/>
            </w:rPr>
            <w:t>Valoración del grado de cumplimiento de las obligaciones de publicidad activa</w:t>
          </w:r>
          <w:r w:rsidR="00032D8A" w:rsidRPr="00C02D3B">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1558" w:type="dxa"/>
        <w:tblInd w:w="-318" w:type="dxa"/>
        <w:tblLook w:val="04A0" w:firstRow="1" w:lastRow="0" w:firstColumn="1" w:lastColumn="0" w:noHBand="0" w:noVBand="1"/>
      </w:tblPr>
      <w:tblGrid>
        <w:gridCol w:w="4822"/>
        <w:gridCol w:w="842"/>
        <w:gridCol w:w="842"/>
        <w:gridCol w:w="842"/>
        <w:gridCol w:w="842"/>
        <w:gridCol w:w="842"/>
        <w:gridCol w:w="842"/>
        <w:gridCol w:w="842"/>
        <w:gridCol w:w="842"/>
      </w:tblGrid>
      <w:tr w:rsidR="00A16CF6" w:rsidRPr="00225B8D" w:rsidTr="001E0563">
        <w:trPr>
          <w:cnfStyle w:val="100000000000" w:firstRow="1" w:lastRow="0" w:firstColumn="0" w:lastColumn="0" w:oddVBand="0" w:evenVBand="0" w:oddHBand="0" w:evenHBand="0" w:firstRowFirstColumn="0" w:firstRowLastColumn="0" w:lastRowFirstColumn="0" w:lastRowLastColumn="0"/>
          <w:cantSplit/>
          <w:trHeight w:val="1452"/>
        </w:trPr>
        <w:tc>
          <w:tcPr>
            <w:cnfStyle w:val="001000000100" w:firstRow="0" w:lastRow="0" w:firstColumn="1" w:lastColumn="0" w:oddVBand="0" w:evenVBand="0" w:oddHBand="0" w:evenHBand="0" w:firstRowFirstColumn="1" w:firstRowLastColumn="0" w:lastRowFirstColumn="0" w:lastRowLastColumn="0"/>
            <w:tcW w:w="4821" w:type="dxa"/>
            <w:tcBorders>
              <w:top w:val="single" w:sz="18" w:space="0" w:color="FFFFFF" w:themeColor="background1"/>
              <w:bottom w:val="single" w:sz="18" w:space="0" w:color="FFFFFF" w:themeColor="background1"/>
            </w:tcBorders>
            <w:shd w:val="clear" w:color="auto" w:fill="00642D"/>
            <w:noWrap/>
            <w:textDirection w:val="btLr"/>
            <w:hideMark/>
          </w:tcPr>
          <w:p w:rsidR="00A16CF6" w:rsidRPr="00225B8D" w:rsidRDefault="00A16CF6" w:rsidP="00A16CF6">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A16CF6" w:rsidRPr="00225B8D" w:rsidRDefault="00A16CF6" w:rsidP="00A16CF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A16CF6" w:rsidRPr="00225B8D" w:rsidRDefault="00A16CF6" w:rsidP="00A16CF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A16CF6" w:rsidRPr="00225B8D" w:rsidRDefault="00A16CF6" w:rsidP="00A16CF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A16CF6" w:rsidRPr="00225B8D" w:rsidRDefault="00A16CF6" w:rsidP="00A16CF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A16CF6" w:rsidRPr="00225B8D" w:rsidRDefault="00A16CF6" w:rsidP="00A16CF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A16CF6" w:rsidRPr="00225B8D" w:rsidRDefault="00A16CF6" w:rsidP="00A16CF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A16CF6" w:rsidRPr="00225B8D" w:rsidRDefault="00A16CF6" w:rsidP="00A16CF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A16CF6" w:rsidRPr="00225B8D" w:rsidRDefault="00A16CF6" w:rsidP="00A16CF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Total</w:t>
            </w:r>
          </w:p>
        </w:tc>
      </w:tr>
      <w:tr w:rsidR="001E0563" w:rsidRPr="00225B8D" w:rsidTr="001E0563">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1E0563" w:rsidRPr="00225B8D" w:rsidRDefault="001E0563" w:rsidP="00A16CF6">
            <w:pPr>
              <w:spacing w:before="120" w:after="120" w:line="312" w:lineRule="auto"/>
              <w:jc w:val="both"/>
              <w:rPr>
                <w:rFonts w:eastAsia="Calibri" w:cs="Calibri"/>
                <w:sz w:val="16"/>
                <w:szCs w:val="16"/>
              </w:rPr>
            </w:pPr>
            <w:r w:rsidRPr="00225B8D">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90,0</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55,0</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92,0</w:t>
            </w:r>
          </w:p>
        </w:tc>
      </w:tr>
      <w:tr w:rsidR="001E0563" w:rsidRPr="00225B8D" w:rsidTr="001E0563">
        <w:trPr>
          <w:trHeight w:val="559"/>
        </w:trPr>
        <w:tc>
          <w:tcPr>
            <w:cnfStyle w:val="001000000000" w:firstRow="0" w:lastRow="0" w:firstColumn="1" w:lastColumn="0" w:oddVBand="0" w:evenVBand="0" w:oddHBand="0" w:evenHBand="0" w:firstRowFirstColumn="0" w:firstRowLastColumn="0" w:lastRowFirstColumn="0" w:lastRowLastColumn="0"/>
            <w:tcW w:w="48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1E0563" w:rsidRPr="00225B8D" w:rsidRDefault="001E0563" w:rsidP="00A16CF6">
            <w:pPr>
              <w:spacing w:before="120" w:after="120" w:line="312" w:lineRule="auto"/>
              <w:jc w:val="both"/>
              <w:rPr>
                <w:rFonts w:eastAsia="Calibri" w:cs="Calibri"/>
                <w:sz w:val="16"/>
                <w:szCs w:val="16"/>
              </w:rPr>
            </w:pPr>
            <w:r w:rsidRPr="00225B8D">
              <w:rPr>
                <w:rFonts w:eastAsia="Calibri" w:cs="Calibri"/>
                <w:sz w:val="16"/>
                <w:szCs w:val="16"/>
              </w:rPr>
              <w:t xml:space="preserve">De relevancia jurídica </w:t>
            </w:r>
          </w:p>
        </w:tc>
        <w:tc>
          <w:tcPr>
            <w:tcW w:w="0" w:type="auto"/>
            <w:tcBorders>
              <w:left w:val="single" w:sz="18" w:space="0" w:color="FFFFFF" w:themeColor="background1"/>
            </w:tcBorders>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r>
      <w:tr w:rsidR="001E0563" w:rsidRPr="00225B8D" w:rsidTr="001E0563">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E0563" w:rsidRPr="00225B8D" w:rsidRDefault="001E0563" w:rsidP="00A16CF6">
            <w:pPr>
              <w:spacing w:before="120" w:after="120" w:line="312" w:lineRule="auto"/>
              <w:jc w:val="both"/>
              <w:rPr>
                <w:rFonts w:eastAsia="Calibri" w:cs="Calibri"/>
                <w:sz w:val="16"/>
                <w:szCs w:val="16"/>
              </w:rPr>
            </w:pPr>
            <w:r w:rsidRPr="00225B8D">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94,7</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47,4</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94,7</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53,7</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86,8</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84,2</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84,2</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78,0</w:t>
            </w:r>
          </w:p>
        </w:tc>
      </w:tr>
      <w:tr w:rsidR="001E0563" w:rsidRPr="00225B8D" w:rsidTr="001E0563">
        <w:trPr>
          <w:trHeight w:val="559"/>
        </w:trPr>
        <w:tc>
          <w:tcPr>
            <w:cnfStyle w:val="001000000000" w:firstRow="0" w:lastRow="0" w:firstColumn="1" w:lastColumn="0" w:oddVBand="0" w:evenVBand="0" w:oddHBand="0" w:evenHBand="0" w:firstRowFirstColumn="0" w:firstRowLastColumn="0" w:lastRowFirstColumn="0" w:lastRowLastColumn="0"/>
            <w:tcW w:w="48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1E0563" w:rsidRPr="00225B8D" w:rsidRDefault="001E0563" w:rsidP="00A16CF6">
            <w:pPr>
              <w:spacing w:before="120" w:after="120" w:line="312" w:lineRule="auto"/>
              <w:jc w:val="both"/>
              <w:rPr>
                <w:rFonts w:eastAsia="Calibri" w:cs="Calibri"/>
                <w:sz w:val="16"/>
                <w:szCs w:val="16"/>
              </w:rPr>
            </w:pPr>
            <w:r w:rsidRPr="00225B8D">
              <w:rPr>
                <w:rFonts w:eastAsia="Calibri" w:cs="Calibri"/>
                <w:sz w:val="16"/>
                <w:szCs w:val="16"/>
              </w:rPr>
              <w:t>Información patrimonial</w:t>
            </w:r>
          </w:p>
        </w:tc>
        <w:tc>
          <w:tcPr>
            <w:tcW w:w="0" w:type="auto"/>
            <w:tcBorders>
              <w:left w:val="single" w:sz="18" w:space="0" w:color="FFFFFF" w:themeColor="background1"/>
            </w:tcBorders>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50,0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92,9</w:t>
            </w:r>
          </w:p>
        </w:tc>
      </w:tr>
      <w:tr w:rsidR="001E0563" w:rsidRPr="00225B8D" w:rsidTr="001E0563">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E0563" w:rsidRPr="00225B8D" w:rsidRDefault="001E0563" w:rsidP="00A16CF6">
            <w:pPr>
              <w:spacing w:before="120" w:after="120" w:line="312" w:lineRule="auto"/>
              <w:jc w:val="both"/>
              <w:rPr>
                <w:rFonts w:eastAsia="Calibri" w:cs="Calibri"/>
                <w:i/>
                <w:sz w:val="16"/>
                <w:szCs w:val="16"/>
              </w:rPr>
            </w:pPr>
            <w:r w:rsidRPr="00225B8D">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1E0563">
              <w:rPr>
                <w:b/>
                <w:i/>
                <w:sz w:val="18"/>
                <w:szCs w:val="18"/>
              </w:rPr>
              <w:t>97,2</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1E0563">
              <w:rPr>
                <w:b/>
                <w:i/>
                <w:sz w:val="18"/>
                <w:szCs w:val="18"/>
              </w:rPr>
              <w:t>72,2</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1E0563">
              <w:rPr>
                <w:b/>
                <w:i/>
                <w:sz w:val="18"/>
                <w:szCs w:val="18"/>
              </w:rPr>
              <w:t>97,2</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1E0563">
              <w:rPr>
                <w:b/>
                <w:i/>
                <w:sz w:val="18"/>
                <w:szCs w:val="18"/>
              </w:rPr>
              <w:t>75,6</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1E0563">
              <w:rPr>
                <w:b/>
                <w:i/>
                <w:sz w:val="18"/>
                <w:szCs w:val="18"/>
              </w:rPr>
              <w:t>93,1</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1E0563">
              <w:rPr>
                <w:b/>
                <w:i/>
                <w:sz w:val="18"/>
                <w:szCs w:val="18"/>
              </w:rPr>
              <w:t>88,9</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1E0563">
              <w:rPr>
                <w:b/>
                <w:i/>
                <w:sz w:val="18"/>
                <w:szCs w:val="18"/>
              </w:rPr>
              <w:t>77,8</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1E0563">
              <w:rPr>
                <w:b/>
                <w:i/>
                <w:sz w:val="18"/>
                <w:szCs w:val="18"/>
              </w:rPr>
              <w:t>86,0</w:t>
            </w:r>
          </w:p>
        </w:tc>
      </w:tr>
    </w:tbl>
    <w:p w:rsidR="00FA5AFD" w:rsidRDefault="00FA5AFD" w:rsidP="00F05E2C">
      <w:pPr>
        <w:pStyle w:val="Cuerpodelboletn"/>
        <w:rPr>
          <w:lang w:bidi="es-ES"/>
        </w:rPr>
      </w:pPr>
    </w:p>
    <w:p w:rsidR="001E0563" w:rsidRPr="00225B8D" w:rsidRDefault="001E0563" w:rsidP="001E0563">
      <w:pPr>
        <w:spacing w:after="200" w:line="276" w:lineRule="auto"/>
        <w:jc w:val="both"/>
        <w:rPr>
          <w:rFonts w:eastAsia="Times New Roman" w:cs="Times New Roman"/>
          <w:szCs w:val="22"/>
          <w:lang w:eastAsia="es-ES"/>
        </w:rPr>
      </w:pPr>
      <w:r w:rsidRPr="00225B8D">
        <w:rPr>
          <w:rFonts w:eastAsia="Times New Roman" w:cs="Times New Roman"/>
          <w:szCs w:val="22"/>
          <w:lang w:eastAsia="es-ES"/>
        </w:rPr>
        <w:t xml:space="preserve">El Índice de Cumplimiento de la Información Obligatoria (ICIO) se sitúa en el </w:t>
      </w:r>
      <w:r>
        <w:rPr>
          <w:rFonts w:eastAsia="Times New Roman" w:cs="Times New Roman"/>
          <w:szCs w:val="22"/>
          <w:lang w:eastAsia="es-ES"/>
        </w:rPr>
        <w:t>86</w:t>
      </w:r>
      <w:r w:rsidRPr="00225B8D">
        <w:rPr>
          <w:rFonts w:eastAsia="Times New Roman" w:cs="Times New Roman"/>
          <w:szCs w:val="22"/>
          <w:lang w:eastAsia="es-ES"/>
        </w:rPr>
        <w:t xml:space="preserve">%. </w:t>
      </w:r>
      <w:r>
        <w:rPr>
          <w:rFonts w:eastAsia="Times New Roman" w:cs="Times New Roman"/>
          <w:szCs w:val="22"/>
          <w:lang w:eastAsia="es-ES"/>
        </w:rPr>
        <w:t>E</w:t>
      </w:r>
      <w:r w:rsidRPr="00225B8D">
        <w:rPr>
          <w:rFonts w:eastAsia="Times New Roman" w:cs="Times New Roman"/>
          <w:szCs w:val="22"/>
          <w:lang w:eastAsia="es-ES"/>
        </w:rPr>
        <w:t>l recurso a fuentes centralizadas para la publicación de diversas informaciones</w:t>
      </w:r>
      <w:r>
        <w:rPr>
          <w:rFonts w:eastAsia="Times New Roman" w:cs="Times New Roman"/>
          <w:szCs w:val="22"/>
          <w:lang w:eastAsia="es-ES"/>
        </w:rPr>
        <w:t xml:space="preserve"> y las barreras a la accesibilidad que implica esta forma de publicación, y la falta de referencias a la fecha de la última revisión o actualización de la información publicada</w:t>
      </w:r>
      <w:r w:rsidRPr="00225B8D">
        <w:rPr>
          <w:rFonts w:eastAsia="Times New Roman" w:cs="Times New Roman"/>
          <w:szCs w:val="22"/>
          <w:lang w:eastAsia="es-ES"/>
        </w:rPr>
        <w:t>, son los dos factores que explican el nivel de cumplimiento alcanzado.</w:t>
      </w:r>
    </w:p>
    <w:p w:rsidR="001E0563" w:rsidRDefault="001E0563" w:rsidP="00965C69">
      <w:pPr>
        <w:pStyle w:val="Cuerpodelboletn"/>
      </w:pPr>
      <w:r>
        <w:t xml:space="preserve">Respecto de 2020, el ICIO se ha incrementado en 3,2 puntos porcentuales, incremento atribuible exclusivamente a la revisión de oficio realizada por este Consejo del cumplimiento del atributo reutilización. </w:t>
      </w:r>
    </w:p>
    <w:p w:rsidR="001E0563" w:rsidRDefault="001E0563" w:rsidP="00965C69">
      <w:pPr>
        <w:pStyle w:val="Cuerpodelboletn"/>
        <w:sectPr w:rsidR="001E0563"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C02D3B">
          <w:pPr>
            <w:pStyle w:val="Cuerpodelboletn"/>
            <w:numPr>
              <w:ilvl w:val="0"/>
              <w:numId w:val="21"/>
            </w:numPr>
            <w:rPr>
              <w:sz w:val="30"/>
              <w:szCs w:val="30"/>
            </w:rPr>
          </w:pPr>
          <w:r w:rsidRPr="002D27E4">
            <w:rPr>
              <w:b/>
              <w:color w:val="50866C"/>
              <w:sz w:val="30"/>
              <w:szCs w:val="30"/>
            </w:rPr>
            <w:t xml:space="preserve">Conclusiones </w:t>
          </w:r>
        </w:p>
      </w:sdtContent>
    </w:sdt>
    <w:p w:rsidR="00965C69" w:rsidRDefault="001E0563" w:rsidP="00965C69">
      <w:pPr>
        <w:pStyle w:val="Cuerpodelboletn"/>
      </w:pPr>
      <w:r w:rsidRPr="001E0563">
        <w:t xml:space="preserve">El cumplimiento de las obligaciones de publicidad activa por parte de la Comunidad </w:t>
      </w:r>
      <w:r>
        <w:t>de Madrid</w:t>
      </w:r>
      <w:r w:rsidRPr="001E0563">
        <w:t>, ha permanecido estable, en tanto que no se han adoptado buena parte de las recomendaciones formuladas a consecuencia de la evaluación realizada en 2020.</w:t>
      </w:r>
    </w:p>
    <w:p w:rsidR="00045369" w:rsidRDefault="001E0563" w:rsidP="00C02D3B">
      <w:pPr>
        <w:pStyle w:val="Cuerpodelboletn"/>
      </w:pPr>
      <w:r>
        <w:t>Como consecuencia de esto persisten los déficits señalados en dicha evaluación y al efectuar la revisión del cumplimiento de las obligaciones de publicidad activa, se han observado algunos adicionales:</w:t>
      </w:r>
    </w:p>
    <w:p w:rsidR="001E0563" w:rsidRDefault="001E0563" w:rsidP="001E0563">
      <w:pPr>
        <w:pStyle w:val="Prrafodelista"/>
        <w:numPr>
          <w:ilvl w:val="0"/>
          <w:numId w:val="22"/>
        </w:numPr>
        <w:jc w:val="both"/>
      </w:pPr>
      <w:r>
        <w:t xml:space="preserve">No se ha localizado información sobre las resoluciones </w:t>
      </w:r>
      <w:r w:rsidRPr="00B005EA">
        <w:t>que autoricen el ejercicio de actividad privada con motivo del cese de los altos cargos</w:t>
      </w:r>
      <w:r>
        <w:t>.</w:t>
      </w:r>
    </w:p>
    <w:p w:rsidR="001E0563" w:rsidRDefault="001E0563" w:rsidP="001E0563">
      <w:pPr>
        <w:jc w:val="both"/>
      </w:pPr>
    </w:p>
    <w:p w:rsidR="001E0563" w:rsidRDefault="001E0563" w:rsidP="001E0563">
      <w:pPr>
        <w:pStyle w:val="Prrafodelista"/>
        <w:numPr>
          <w:ilvl w:val="0"/>
          <w:numId w:val="22"/>
        </w:numPr>
        <w:jc w:val="both"/>
      </w:pPr>
      <w:r w:rsidRPr="00B005EA">
        <w:t>En cuanto a la información a la que se accede mediante fuentes centralizadas, se recom</w:t>
      </w:r>
      <w:r>
        <w:t>endó su</w:t>
      </w:r>
      <w:r w:rsidRPr="00B005EA">
        <w:t xml:space="preserve"> publicación directamente en la web mediante cuadros-resumen con los contenidos de información que establece la LTAIBG y la LTP</w:t>
      </w:r>
      <w:r>
        <w:t xml:space="preserve">. En este sentido, en el apartado de contratos se incluye un enlace denominado “publicación de contratos en </w:t>
      </w:r>
      <w:r>
        <w:lastRenderedPageBreak/>
        <w:t>Internet”. No obstante, cuando se hace clic en el mismo remite a un buscador de trámites, sin que se haya podido localizar información sobre contratos. Por el contrario, si se utiliza el enlace “buscador avanzado” si se accede a un buscador específico referido a los contratos. Los resultados obtenidos en la búsqueda son exportables a Excel. En los datos recogidos en las tablas no se observan en todos los casos la totalidad de informaciones requeridas por la LTAIBG, como pueden ser la identificación del adjudicatario o el importe de la adjudicación.</w:t>
      </w:r>
    </w:p>
    <w:p w:rsidR="001E0563" w:rsidRDefault="001E0563" w:rsidP="001E0563">
      <w:pPr>
        <w:jc w:val="both"/>
      </w:pPr>
    </w:p>
    <w:p w:rsidR="001E0563" w:rsidRDefault="001E0563" w:rsidP="001E0563">
      <w:pPr>
        <w:pStyle w:val="Prrafodelista"/>
        <w:numPr>
          <w:ilvl w:val="0"/>
          <w:numId w:val="22"/>
        </w:numPr>
        <w:jc w:val="both"/>
      </w:pPr>
      <w:r>
        <w:t>Del mismo modo, se ha incluido un enlace a un buscador de subvenciones en el apartado subvenciones y ayudas públicas. No obstante, no se ha podido valorar el contenido de dicho buscador, al no poder cargar la página. Tampoco se ha podido valorar la información relacionada en el cuadro “grado-financiación-subvenciones-finalistas” pues al utilizar dicho acceso se señala que el contenido no se encuentra.</w:t>
      </w:r>
    </w:p>
    <w:p w:rsidR="001E0563" w:rsidRDefault="001E0563" w:rsidP="001E0563">
      <w:pPr>
        <w:jc w:val="both"/>
      </w:pPr>
    </w:p>
    <w:p w:rsidR="001E0563" w:rsidRDefault="001E0563" w:rsidP="001E0563">
      <w:pPr>
        <w:pStyle w:val="Prrafodelista"/>
        <w:numPr>
          <w:ilvl w:val="0"/>
          <w:numId w:val="22"/>
        </w:numPr>
        <w:jc w:val="both"/>
      </w:pPr>
      <w:r>
        <w:t xml:space="preserve">No en todas las secciones del portal se indica la fecha de la última actualización. </w:t>
      </w:r>
      <w:r w:rsidRPr="009D2412">
        <w:t>En las secciones “organización y recursos” o “normativa y planificación” no se indica con carácter general la fecha de la última actualización. En cambio, si se indica en “presupuestos, contratos y subvenciones”</w:t>
      </w:r>
    </w:p>
    <w:p w:rsidR="001E0563" w:rsidRDefault="001E0563" w:rsidP="00C02D3B">
      <w:pPr>
        <w:pStyle w:val="Cuerpodelboletn"/>
      </w:pPr>
    </w:p>
    <w:p w:rsidR="00BF4048" w:rsidRDefault="00BF4048" w:rsidP="00C02D3B">
      <w:pPr>
        <w:pStyle w:val="Cuerpodelboletn"/>
      </w:pPr>
    </w:p>
    <w:p w:rsidR="00C02D3B" w:rsidRDefault="00C02D3B" w:rsidP="00CC60B0">
      <w:pPr>
        <w:pStyle w:val="Cuerpodelboletn"/>
        <w:jc w:val="right"/>
      </w:pPr>
      <w:r>
        <w:t xml:space="preserve">Madrid, </w:t>
      </w:r>
      <w:r w:rsidR="007356B3">
        <w:t>octubre</w:t>
      </w:r>
      <w:r>
        <w:t xml:space="preserve"> de 2021</w:t>
      </w:r>
    </w:p>
    <w:p w:rsidR="00CC60B0" w:rsidRDefault="00CC60B0">
      <w:pPr>
        <w:rPr>
          <w:b/>
          <w:sz w:val="30"/>
          <w:szCs w:val="30"/>
        </w:rPr>
      </w:pPr>
      <w:r>
        <w:rPr>
          <w:b/>
          <w:sz w:val="30"/>
          <w:szCs w:val="30"/>
        </w:rPr>
        <w:br w:type="page"/>
      </w: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B4962" w:rsidRPr="00F31BC3" w:rsidRDefault="009B4962"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BF4048" w:rsidRPr="00F31BC3" w:rsidRDefault="00BF4048"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bookmarkStart w:id="0" w:name="_GoBack"/>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B4962" w:rsidRPr="00F31BC3" w:rsidRDefault="009B4962"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BF4048" w:rsidRPr="00F31BC3" w:rsidRDefault="00BF4048"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bookmarkEnd w:id="0"/>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962" w:rsidRDefault="009B4962" w:rsidP="00F31BC3">
      <w:r>
        <w:separator/>
      </w:r>
    </w:p>
  </w:endnote>
  <w:endnote w:type="continuationSeparator" w:id="0">
    <w:p w:rsidR="009B4962" w:rsidRDefault="009B4962"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962" w:rsidRDefault="009B4962" w:rsidP="00F31BC3">
      <w:r>
        <w:separator/>
      </w:r>
    </w:p>
  </w:footnote>
  <w:footnote w:type="continuationSeparator" w:id="0">
    <w:p w:rsidR="009B4962" w:rsidRDefault="009B4962"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F66618"/>
    <w:multiLevelType w:val="hybridMultilevel"/>
    <w:tmpl w:val="E5C42AD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9">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E04553A"/>
    <w:multiLevelType w:val="hybridMultilevel"/>
    <w:tmpl w:val="B58AE0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AA31344"/>
    <w:multiLevelType w:val="hybridMultilevel"/>
    <w:tmpl w:val="AAECB612"/>
    <w:lvl w:ilvl="0" w:tplc="B56208B0">
      <w:start w:val="1"/>
      <w:numFmt w:val="upperRoman"/>
      <w:lvlText w:val="%1."/>
      <w:lvlJc w:val="right"/>
      <w:pPr>
        <w:ind w:left="720" w:hanging="360"/>
      </w:pPr>
      <w:rPr>
        <w:rFonts w:ascii="Century Gothic" w:hAnsi="Century Gothic" w:hint="default"/>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DF21114"/>
    <w:multiLevelType w:val="hybridMultilevel"/>
    <w:tmpl w:val="C8CA68AE"/>
    <w:lvl w:ilvl="0" w:tplc="260870D2">
      <w:start w:val="3"/>
      <w:numFmt w:val="upperRoman"/>
      <w:lvlText w:val="%1."/>
      <w:lvlJc w:val="right"/>
      <w:pPr>
        <w:ind w:left="720" w:hanging="360"/>
      </w:pPr>
      <w:rPr>
        <w:rFonts w:ascii="Century Gothic" w:hAnsi="Century Gothic" w:hint="default"/>
        <w:b/>
        <w:i w:val="0"/>
        <w:color w:val="50866C"/>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8"/>
  </w:num>
  <w:num w:numId="3">
    <w:abstractNumId w:val="8"/>
  </w:num>
  <w:num w:numId="4">
    <w:abstractNumId w:val="0"/>
  </w:num>
  <w:num w:numId="5">
    <w:abstractNumId w:val="16"/>
  </w:num>
  <w:num w:numId="6">
    <w:abstractNumId w:val="17"/>
  </w:num>
  <w:num w:numId="7">
    <w:abstractNumId w:val="15"/>
  </w:num>
  <w:num w:numId="8">
    <w:abstractNumId w:val="1"/>
  </w:num>
  <w:num w:numId="9">
    <w:abstractNumId w:val="4"/>
  </w:num>
  <w:num w:numId="10">
    <w:abstractNumId w:val="3"/>
  </w:num>
  <w:num w:numId="11">
    <w:abstractNumId w:val="19"/>
  </w:num>
  <w:num w:numId="12">
    <w:abstractNumId w:val="12"/>
  </w:num>
  <w:num w:numId="13">
    <w:abstractNumId w:val="6"/>
  </w:num>
  <w:num w:numId="14">
    <w:abstractNumId w:val="20"/>
  </w:num>
  <w:num w:numId="15">
    <w:abstractNumId w:val="2"/>
  </w:num>
  <w:num w:numId="16">
    <w:abstractNumId w:val="21"/>
  </w:num>
  <w:num w:numId="17">
    <w:abstractNumId w:val="10"/>
  </w:num>
  <w:num w:numId="18">
    <w:abstractNumId w:val="9"/>
  </w:num>
  <w:num w:numId="19">
    <w:abstractNumId w:val="11"/>
  </w:num>
  <w:num w:numId="20">
    <w:abstractNumId w:val="13"/>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254B4"/>
    <w:rsid w:val="00032D8A"/>
    <w:rsid w:val="00045369"/>
    <w:rsid w:val="00053A0E"/>
    <w:rsid w:val="0005642F"/>
    <w:rsid w:val="00056BE5"/>
    <w:rsid w:val="000629BE"/>
    <w:rsid w:val="00072B7E"/>
    <w:rsid w:val="000775A5"/>
    <w:rsid w:val="000A77F5"/>
    <w:rsid w:val="000B49E9"/>
    <w:rsid w:val="000D3907"/>
    <w:rsid w:val="000D5417"/>
    <w:rsid w:val="000E0A9E"/>
    <w:rsid w:val="00104DE9"/>
    <w:rsid w:val="00104E94"/>
    <w:rsid w:val="001149B1"/>
    <w:rsid w:val="00132732"/>
    <w:rsid w:val="00133246"/>
    <w:rsid w:val="00146C3C"/>
    <w:rsid w:val="00164876"/>
    <w:rsid w:val="00170962"/>
    <w:rsid w:val="001763F8"/>
    <w:rsid w:val="00183301"/>
    <w:rsid w:val="00187CDD"/>
    <w:rsid w:val="0019448F"/>
    <w:rsid w:val="001A0DA8"/>
    <w:rsid w:val="001A5305"/>
    <w:rsid w:val="001C3E2F"/>
    <w:rsid w:val="001C4509"/>
    <w:rsid w:val="001C7037"/>
    <w:rsid w:val="001C7C78"/>
    <w:rsid w:val="001C7D84"/>
    <w:rsid w:val="001D558E"/>
    <w:rsid w:val="001E0563"/>
    <w:rsid w:val="001E5AAD"/>
    <w:rsid w:val="001F51B6"/>
    <w:rsid w:val="0021682B"/>
    <w:rsid w:val="00231D61"/>
    <w:rsid w:val="002371CF"/>
    <w:rsid w:val="00243294"/>
    <w:rsid w:val="00244EDA"/>
    <w:rsid w:val="002467FA"/>
    <w:rsid w:val="00263F79"/>
    <w:rsid w:val="002B659F"/>
    <w:rsid w:val="002D0702"/>
    <w:rsid w:val="002D27E4"/>
    <w:rsid w:val="002E409F"/>
    <w:rsid w:val="0031769F"/>
    <w:rsid w:val="00347877"/>
    <w:rsid w:val="003542FC"/>
    <w:rsid w:val="00355DC0"/>
    <w:rsid w:val="003A1694"/>
    <w:rsid w:val="003A390C"/>
    <w:rsid w:val="003B57E6"/>
    <w:rsid w:val="003B6B96"/>
    <w:rsid w:val="003D2A34"/>
    <w:rsid w:val="003D2C4A"/>
    <w:rsid w:val="003E564B"/>
    <w:rsid w:val="003E5D2F"/>
    <w:rsid w:val="003F035A"/>
    <w:rsid w:val="003F1A3E"/>
    <w:rsid w:val="003F6EDC"/>
    <w:rsid w:val="00415DBD"/>
    <w:rsid w:val="00422B18"/>
    <w:rsid w:val="004430AC"/>
    <w:rsid w:val="0044623D"/>
    <w:rsid w:val="004668B8"/>
    <w:rsid w:val="004720A5"/>
    <w:rsid w:val="004767AC"/>
    <w:rsid w:val="0047735C"/>
    <w:rsid w:val="004859CC"/>
    <w:rsid w:val="004A1663"/>
    <w:rsid w:val="004C6440"/>
    <w:rsid w:val="004D50CC"/>
    <w:rsid w:val="004D7037"/>
    <w:rsid w:val="004E7B33"/>
    <w:rsid w:val="004E7FFC"/>
    <w:rsid w:val="00506864"/>
    <w:rsid w:val="005301DF"/>
    <w:rsid w:val="00536832"/>
    <w:rsid w:val="00563295"/>
    <w:rsid w:val="005B1544"/>
    <w:rsid w:val="005C3521"/>
    <w:rsid w:val="005C4778"/>
    <w:rsid w:val="005E2505"/>
    <w:rsid w:val="005E6704"/>
    <w:rsid w:val="00603DFC"/>
    <w:rsid w:val="00617C4C"/>
    <w:rsid w:val="006204FA"/>
    <w:rsid w:val="006241AE"/>
    <w:rsid w:val="0062568F"/>
    <w:rsid w:val="00633EAA"/>
    <w:rsid w:val="00641C15"/>
    <w:rsid w:val="0069673B"/>
    <w:rsid w:val="006B75D8"/>
    <w:rsid w:val="006C0CDD"/>
    <w:rsid w:val="006D49E7"/>
    <w:rsid w:val="006D4C90"/>
    <w:rsid w:val="006E75DE"/>
    <w:rsid w:val="00704915"/>
    <w:rsid w:val="007071A8"/>
    <w:rsid w:val="00707C14"/>
    <w:rsid w:val="00714C54"/>
    <w:rsid w:val="00717272"/>
    <w:rsid w:val="007356B3"/>
    <w:rsid w:val="0073626B"/>
    <w:rsid w:val="00751FAA"/>
    <w:rsid w:val="00760E4B"/>
    <w:rsid w:val="0076640C"/>
    <w:rsid w:val="00767C60"/>
    <w:rsid w:val="00777FB3"/>
    <w:rsid w:val="00781700"/>
    <w:rsid w:val="00783202"/>
    <w:rsid w:val="00790143"/>
    <w:rsid w:val="007942B7"/>
    <w:rsid w:val="00794EE5"/>
    <w:rsid w:val="007954A6"/>
    <w:rsid w:val="007D1701"/>
    <w:rsid w:val="007D5CBF"/>
    <w:rsid w:val="007D69D9"/>
    <w:rsid w:val="007F1D56"/>
    <w:rsid w:val="007F5F9D"/>
    <w:rsid w:val="00803D20"/>
    <w:rsid w:val="00807495"/>
    <w:rsid w:val="00821526"/>
    <w:rsid w:val="0082470D"/>
    <w:rsid w:val="00825ACB"/>
    <w:rsid w:val="00876480"/>
    <w:rsid w:val="00882A5B"/>
    <w:rsid w:val="00891E6F"/>
    <w:rsid w:val="00894358"/>
    <w:rsid w:val="0089455A"/>
    <w:rsid w:val="00897D04"/>
    <w:rsid w:val="008A5AAE"/>
    <w:rsid w:val="008C1898"/>
    <w:rsid w:val="008D0D88"/>
    <w:rsid w:val="008D32F0"/>
    <w:rsid w:val="008E69E2"/>
    <w:rsid w:val="008F5671"/>
    <w:rsid w:val="00902A71"/>
    <w:rsid w:val="009039FD"/>
    <w:rsid w:val="00903FE0"/>
    <w:rsid w:val="00912DB4"/>
    <w:rsid w:val="009139A7"/>
    <w:rsid w:val="009654DA"/>
    <w:rsid w:val="00965C69"/>
    <w:rsid w:val="00982299"/>
    <w:rsid w:val="0099170B"/>
    <w:rsid w:val="009A03A4"/>
    <w:rsid w:val="009B1480"/>
    <w:rsid w:val="009B4962"/>
    <w:rsid w:val="009B75CD"/>
    <w:rsid w:val="009C5469"/>
    <w:rsid w:val="009D2412"/>
    <w:rsid w:val="009D35A4"/>
    <w:rsid w:val="009D3CC3"/>
    <w:rsid w:val="009D4047"/>
    <w:rsid w:val="009D78D2"/>
    <w:rsid w:val="009E049D"/>
    <w:rsid w:val="009E2E6F"/>
    <w:rsid w:val="009E7254"/>
    <w:rsid w:val="00A03993"/>
    <w:rsid w:val="00A0626F"/>
    <w:rsid w:val="00A1361E"/>
    <w:rsid w:val="00A16CF6"/>
    <w:rsid w:val="00A24E51"/>
    <w:rsid w:val="00A51AAD"/>
    <w:rsid w:val="00A82709"/>
    <w:rsid w:val="00AA0AE1"/>
    <w:rsid w:val="00AA7C77"/>
    <w:rsid w:val="00AC2723"/>
    <w:rsid w:val="00AC4A6F"/>
    <w:rsid w:val="00AD6065"/>
    <w:rsid w:val="00AE0D68"/>
    <w:rsid w:val="00AE4F68"/>
    <w:rsid w:val="00AE6A4F"/>
    <w:rsid w:val="00AF5151"/>
    <w:rsid w:val="00B005EA"/>
    <w:rsid w:val="00B1184C"/>
    <w:rsid w:val="00B220EC"/>
    <w:rsid w:val="00B330D0"/>
    <w:rsid w:val="00B33A2F"/>
    <w:rsid w:val="00B5314A"/>
    <w:rsid w:val="00B56A3A"/>
    <w:rsid w:val="00B75A01"/>
    <w:rsid w:val="00B77C12"/>
    <w:rsid w:val="00B85EA1"/>
    <w:rsid w:val="00B87734"/>
    <w:rsid w:val="00B92ECF"/>
    <w:rsid w:val="00BA03C4"/>
    <w:rsid w:val="00BA14E6"/>
    <w:rsid w:val="00BA3611"/>
    <w:rsid w:val="00BC61D1"/>
    <w:rsid w:val="00BD18E4"/>
    <w:rsid w:val="00BD1E44"/>
    <w:rsid w:val="00BD2172"/>
    <w:rsid w:val="00BD2842"/>
    <w:rsid w:val="00BF4048"/>
    <w:rsid w:val="00C02953"/>
    <w:rsid w:val="00C02D3B"/>
    <w:rsid w:val="00C1290B"/>
    <w:rsid w:val="00C213EC"/>
    <w:rsid w:val="00C24010"/>
    <w:rsid w:val="00C259F4"/>
    <w:rsid w:val="00C27705"/>
    <w:rsid w:val="00C3228C"/>
    <w:rsid w:val="00C4050E"/>
    <w:rsid w:val="00C4430D"/>
    <w:rsid w:val="00C451D3"/>
    <w:rsid w:val="00C54D21"/>
    <w:rsid w:val="00C555C6"/>
    <w:rsid w:val="00C61E7F"/>
    <w:rsid w:val="00C66E73"/>
    <w:rsid w:val="00C80C02"/>
    <w:rsid w:val="00C91330"/>
    <w:rsid w:val="00CC48E8"/>
    <w:rsid w:val="00CC60B0"/>
    <w:rsid w:val="00CD3DE8"/>
    <w:rsid w:val="00CF21EB"/>
    <w:rsid w:val="00D014E1"/>
    <w:rsid w:val="00D01CA1"/>
    <w:rsid w:val="00D1453D"/>
    <w:rsid w:val="00D32D0D"/>
    <w:rsid w:val="00D41F4C"/>
    <w:rsid w:val="00D520C8"/>
    <w:rsid w:val="00D5313C"/>
    <w:rsid w:val="00D70570"/>
    <w:rsid w:val="00D96084"/>
    <w:rsid w:val="00DA6660"/>
    <w:rsid w:val="00DC5B52"/>
    <w:rsid w:val="00DD0A8E"/>
    <w:rsid w:val="00DD515F"/>
    <w:rsid w:val="00DF25D7"/>
    <w:rsid w:val="00DF50DC"/>
    <w:rsid w:val="00DF555F"/>
    <w:rsid w:val="00E023B5"/>
    <w:rsid w:val="00E133E0"/>
    <w:rsid w:val="00E17DF6"/>
    <w:rsid w:val="00E33169"/>
    <w:rsid w:val="00E51AC4"/>
    <w:rsid w:val="00E6528C"/>
    <w:rsid w:val="00E73F4D"/>
    <w:rsid w:val="00E958EE"/>
    <w:rsid w:val="00EC6A3E"/>
    <w:rsid w:val="00ED30F1"/>
    <w:rsid w:val="00ED57F6"/>
    <w:rsid w:val="00ED6104"/>
    <w:rsid w:val="00ED7D79"/>
    <w:rsid w:val="00EE5F85"/>
    <w:rsid w:val="00EF5B46"/>
    <w:rsid w:val="00EF6910"/>
    <w:rsid w:val="00F04B4F"/>
    <w:rsid w:val="00F05A96"/>
    <w:rsid w:val="00F05E2C"/>
    <w:rsid w:val="00F132F9"/>
    <w:rsid w:val="00F24BAF"/>
    <w:rsid w:val="00F25044"/>
    <w:rsid w:val="00F31BC3"/>
    <w:rsid w:val="00F36022"/>
    <w:rsid w:val="00F614CD"/>
    <w:rsid w:val="00F7274D"/>
    <w:rsid w:val="00F90A12"/>
    <w:rsid w:val="00F95333"/>
    <w:rsid w:val="00FA0C58"/>
    <w:rsid w:val="00FA11BE"/>
    <w:rsid w:val="00FA1911"/>
    <w:rsid w:val="00FA5997"/>
    <w:rsid w:val="00FA5AFD"/>
    <w:rsid w:val="00FB0A8B"/>
    <w:rsid w:val="00FC4E74"/>
    <w:rsid w:val="00FC765A"/>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A16CF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A16CF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753038947">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412819"/>
    <w:rsid w:val="00583D19"/>
    <w:rsid w:val="005E1775"/>
    <w:rsid w:val="006837A3"/>
    <w:rsid w:val="00787EBD"/>
    <w:rsid w:val="00861D94"/>
    <w:rsid w:val="008E118A"/>
    <w:rsid w:val="00924481"/>
    <w:rsid w:val="00970989"/>
    <w:rsid w:val="00AB484A"/>
    <w:rsid w:val="00B23956"/>
    <w:rsid w:val="00BA06EC"/>
    <w:rsid w:val="00C32372"/>
    <w:rsid w:val="00CB771B"/>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150C8EF9-FD16-44D0-B3CF-8B43C63AE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731</TotalTime>
  <Pages>4</Pages>
  <Words>1021</Words>
  <Characters>5619</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28</cp:revision>
  <cp:lastPrinted>2008-09-26T23:14:00Z</cp:lastPrinted>
  <dcterms:created xsi:type="dcterms:W3CDTF">2021-10-06T16:22:00Z</dcterms:created>
  <dcterms:modified xsi:type="dcterms:W3CDTF">2021-11-30T10:19:00Z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