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3F1F2C" w:rsidRDefault="003F1F2C"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A03993">
                                  <w:rPr>
                                    <w:rFonts w:ascii="Century Gothic" w:hAnsi="Century Gothic"/>
                                    <w:sz w:val="40"/>
                                    <w:szCs w:val="40"/>
                                    <w:lang w:bidi="es-ES"/>
                                  </w:rPr>
                                  <w:t>del Consejo General de la Abogacía Española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6D4C90" w:rsidRDefault="006D4C9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00A03993" w:rsidRPr="00A03993">
                            <w:rPr>
                              <w:rFonts w:ascii="Century Gothic" w:hAnsi="Century Gothic"/>
                              <w:sz w:val="40"/>
                              <w:szCs w:val="40"/>
                              <w:lang w:bidi="es-ES"/>
                            </w:rPr>
                            <w:t>del Consejo General de la Abogacía Española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3F1F2C" w:rsidRDefault="003F1F2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3100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243294" w:rsidRPr="007942B7" w:rsidTr="006D4C90">
        <w:tc>
          <w:tcPr>
            <w:tcW w:w="2093" w:type="dxa"/>
            <w:vMerge w:val="restart"/>
            <w:vAlign w:val="center"/>
          </w:tcPr>
          <w:p w:rsidR="00243294" w:rsidRPr="007942B7" w:rsidRDefault="00243294" w:rsidP="006D4C90">
            <w:pPr>
              <w:rPr>
                <w:sz w:val="20"/>
                <w:szCs w:val="20"/>
              </w:rPr>
            </w:pPr>
            <w:r w:rsidRPr="007942B7">
              <w:rPr>
                <w:sz w:val="20"/>
                <w:szCs w:val="20"/>
              </w:rPr>
              <w:t>Localización y estructuración de la Información</w:t>
            </w:r>
          </w:p>
        </w:tc>
        <w:tc>
          <w:tcPr>
            <w:tcW w:w="4819" w:type="dxa"/>
          </w:tcPr>
          <w:p w:rsidR="00243294" w:rsidRPr="007942B7" w:rsidRDefault="00243294" w:rsidP="00AC4A6F">
            <w:pPr>
              <w:rPr>
                <w:sz w:val="20"/>
                <w:szCs w:val="20"/>
              </w:rPr>
            </w:pPr>
            <w:r w:rsidRPr="007942B7">
              <w:rPr>
                <w:sz w:val="20"/>
                <w:szCs w:val="20"/>
              </w:rPr>
              <w:t>Enlace Específico</w:t>
            </w:r>
          </w:p>
        </w:tc>
        <w:tc>
          <w:tcPr>
            <w:tcW w:w="567" w:type="dxa"/>
          </w:tcPr>
          <w:p w:rsidR="00243294" w:rsidRPr="007942B7" w:rsidRDefault="00243294" w:rsidP="00104DE9">
            <w:pPr>
              <w:jc w:val="center"/>
              <w:rPr>
                <w:sz w:val="20"/>
                <w:szCs w:val="20"/>
              </w:rPr>
            </w:pPr>
          </w:p>
        </w:tc>
        <w:tc>
          <w:tcPr>
            <w:tcW w:w="3203" w:type="dxa"/>
          </w:tcPr>
          <w:p w:rsidR="00243294" w:rsidRPr="007942B7" w:rsidRDefault="00243294" w:rsidP="007942B7">
            <w:pPr>
              <w:rPr>
                <w:sz w:val="20"/>
                <w:szCs w:val="20"/>
              </w:rPr>
            </w:pPr>
          </w:p>
        </w:tc>
      </w:tr>
      <w:tr w:rsidR="00243294" w:rsidRPr="007942B7" w:rsidTr="001C7D84">
        <w:tc>
          <w:tcPr>
            <w:tcW w:w="2093" w:type="dxa"/>
            <w:vMerge/>
          </w:tcPr>
          <w:p w:rsidR="00243294" w:rsidRPr="007942B7" w:rsidRDefault="00243294" w:rsidP="00AC4A6F">
            <w:pPr>
              <w:rPr>
                <w:sz w:val="20"/>
                <w:szCs w:val="20"/>
              </w:rPr>
            </w:pPr>
          </w:p>
        </w:tc>
        <w:tc>
          <w:tcPr>
            <w:tcW w:w="4819" w:type="dxa"/>
          </w:tcPr>
          <w:p w:rsidR="00243294" w:rsidRPr="007942B7" w:rsidRDefault="00243294" w:rsidP="00AC4A6F">
            <w:pPr>
              <w:rPr>
                <w:sz w:val="20"/>
                <w:szCs w:val="20"/>
              </w:rPr>
            </w:pPr>
            <w:r w:rsidRPr="007942B7">
              <w:rPr>
                <w:sz w:val="20"/>
                <w:szCs w:val="20"/>
              </w:rPr>
              <w:t>Estructuración conforme a LTAIBG</w:t>
            </w:r>
          </w:p>
        </w:tc>
        <w:tc>
          <w:tcPr>
            <w:tcW w:w="567" w:type="dxa"/>
          </w:tcPr>
          <w:p w:rsidR="00243294" w:rsidRPr="007942B7" w:rsidRDefault="007D69D9" w:rsidP="00104DE9">
            <w:pPr>
              <w:jc w:val="center"/>
              <w:rPr>
                <w:sz w:val="20"/>
                <w:szCs w:val="20"/>
              </w:rPr>
            </w:pPr>
            <w:r>
              <w:rPr>
                <w:sz w:val="20"/>
                <w:szCs w:val="20"/>
              </w:rPr>
              <w:t>X</w:t>
            </w:r>
          </w:p>
        </w:tc>
        <w:tc>
          <w:tcPr>
            <w:tcW w:w="3203" w:type="dxa"/>
          </w:tcPr>
          <w:p w:rsidR="00243294" w:rsidRPr="007942B7" w:rsidRDefault="007A478C" w:rsidP="00A1361E">
            <w:pPr>
              <w:rPr>
                <w:sz w:val="20"/>
                <w:szCs w:val="20"/>
              </w:rPr>
            </w:pPr>
            <w:r>
              <w:rPr>
                <w:sz w:val="20"/>
                <w:szCs w:val="20"/>
              </w:rPr>
              <w:t>Estructurada conforme LTAIBG</w:t>
            </w:r>
          </w:p>
        </w:tc>
      </w:tr>
      <w:tr w:rsidR="006D4C90" w:rsidRPr="007942B7" w:rsidTr="006D4C90">
        <w:tc>
          <w:tcPr>
            <w:tcW w:w="2093" w:type="dxa"/>
            <w:vAlign w:val="center"/>
          </w:tcPr>
          <w:p w:rsidR="006D4C90" w:rsidRPr="00C3228C" w:rsidRDefault="006D4C90" w:rsidP="006D4C90">
            <w:pPr>
              <w:rPr>
                <w:sz w:val="20"/>
                <w:szCs w:val="20"/>
              </w:rPr>
            </w:pPr>
            <w:r w:rsidRPr="00C3228C">
              <w:rPr>
                <w:sz w:val="20"/>
                <w:szCs w:val="20"/>
              </w:rPr>
              <w:t>Publicación de Contenidos</w:t>
            </w:r>
          </w:p>
        </w:tc>
        <w:tc>
          <w:tcPr>
            <w:tcW w:w="4819" w:type="dxa"/>
          </w:tcPr>
          <w:p w:rsidR="006D4C90" w:rsidRDefault="006D4C90" w:rsidP="00C3228C">
            <w:pPr>
              <w:rPr>
                <w:sz w:val="20"/>
                <w:szCs w:val="20"/>
              </w:rPr>
            </w:pPr>
            <w:r>
              <w:rPr>
                <w:sz w:val="20"/>
                <w:szCs w:val="20"/>
              </w:rPr>
              <w:t>Reubicación del enlace al Registro de Actividades de Tratamiento</w:t>
            </w:r>
          </w:p>
        </w:tc>
        <w:tc>
          <w:tcPr>
            <w:tcW w:w="567" w:type="dxa"/>
          </w:tcPr>
          <w:p w:rsidR="006D4C90" w:rsidRDefault="007D69D9" w:rsidP="00104DE9">
            <w:pPr>
              <w:jc w:val="center"/>
              <w:rPr>
                <w:sz w:val="20"/>
                <w:szCs w:val="20"/>
              </w:rPr>
            </w:pPr>
            <w:r>
              <w:rPr>
                <w:sz w:val="20"/>
                <w:szCs w:val="20"/>
              </w:rPr>
              <w:t>X</w:t>
            </w:r>
          </w:p>
        </w:tc>
        <w:tc>
          <w:tcPr>
            <w:tcW w:w="3203" w:type="dxa"/>
          </w:tcPr>
          <w:p w:rsidR="006D4C90" w:rsidRPr="007942B7" w:rsidRDefault="007A478C" w:rsidP="00AC4A6F">
            <w:pPr>
              <w:rPr>
                <w:sz w:val="20"/>
                <w:szCs w:val="20"/>
              </w:rPr>
            </w:pPr>
            <w:r>
              <w:rPr>
                <w:sz w:val="20"/>
                <w:szCs w:val="20"/>
              </w:rPr>
              <w:t>Se enlaza al RAT desde el bloque de información institucional y organizativa</w:t>
            </w:r>
          </w:p>
        </w:tc>
      </w:tr>
      <w:tr w:rsidR="006D4C90" w:rsidRPr="007942B7" w:rsidTr="00E17DF6">
        <w:trPr>
          <w:trHeight w:val="265"/>
        </w:trPr>
        <w:tc>
          <w:tcPr>
            <w:tcW w:w="2093" w:type="dxa"/>
            <w:vMerge w:val="restart"/>
            <w:vAlign w:val="center"/>
          </w:tcPr>
          <w:p w:rsidR="006D4C90" w:rsidRPr="007942B7" w:rsidRDefault="006D4C90" w:rsidP="006D4C90">
            <w:pPr>
              <w:rPr>
                <w:sz w:val="20"/>
                <w:szCs w:val="20"/>
              </w:rPr>
            </w:pPr>
            <w:r w:rsidRPr="007942B7">
              <w:rPr>
                <w:sz w:val="20"/>
                <w:szCs w:val="20"/>
              </w:rPr>
              <w:t xml:space="preserve">Calidad de la Información </w:t>
            </w:r>
          </w:p>
        </w:tc>
        <w:tc>
          <w:tcPr>
            <w:tcW w:w="4819" w:type="dxa"/>
          </w:tcPr>
          <w:p w:rsidR="006D4C90" w:rsidRPr="007942B7" w:rsidRDefault="006D4C90" w:rsidP="00243294">
            <w:pPr>
              <w:rPr>
                <w:sz w:val="20"/>
                <w:szCs w:val="20"/>
              </w:rPr>
            </w:pPr>
            <w:r w:rsidRPr="007942B7">
              <w:rPr>
                <w:sz w:val="20"/>
                <w:szCs w:val="20"/>
              </w:rPr>
              <w:t>Estructuración</w:t>
            </w:r>
          </w:p>
        </w:tc>
        <w:tc>
          <w:tcPr>
            <w:tcW w:w="567" w:type="dxa"/>
          </w:tcPr>
          <w:p w:rsidR="006D4C90" w:rsidRPr="007942B7" w:rsidRDefault="006D4C90" w:rsidP="00104DE9">
            <w:pPr>
              <w:jc w:val="center"/>
              <w:rPr>
                <w:sz w:val="20"/>
                <w:szCs w:val="20"/>
              </w:rPr>
            </w:pPr>
          </w:p>
        </w:tc>
        <w:tc>
          <w:tcPr>
            <w:tcW w:w="3203" w:type="dxa"/>
          </w:tcPr>
          <w:p w:rsidR="006D4C90" w:rsidRPr="007942B7" w:rsidRDefault="006D4C90" w:rsidP="00AC4A6F">
            <w:pPr>
              <w:rPr>
                <w:sz w:val="20"/>
                <w:szCs w:val="20"/>
              </w:rPr>
            </w:pPr>
          </w:p>
        </w:tc>
      </w:tr>
      <w:tr w:rsidR="006D4C90" w:rsidRPr="007942B7" w:rsidTr="001C7D84">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Accesibilidad</w:t>
            </w:r>
          </w:p>
        </w:tc>
        <w:tc>
          <w:tcPr>
            <w:tcW w:w="567" w:type="dxa"/>
          </w:tcPr>
          <w:p w:rsidR="006D4C90" w:rsidRPr="007942B7" w:rsidRDefault="006D4C90" w:rsidP="00104DE9">
            <w:pPr>
              <w:jc w:val="center"/>
              <w:rPr>
                <w:sz w:val="20"/>
                <w:szCs w:val="20"/>
              </w:rPr>
            </w:pPr>
          </w:p>
        </w:tc>
        <w:tc>
          <w:tcPr>
            <w:tcW w:w="3203" w:type="dxa"/>
          </w:tcPr>
          <w:p w:rsidR="006D4C90" w:rsidRPr="007942B7" w:rsidRDefault="006D4C90" w:rsidP="00AC4A6F">
            <w:pPr>
              <w:rPr>
                <w:sz w:val="20"/>
                <w:szCs w:val="20"/>
              </w:rPr>
            </w:pPr>
          </w:p>
        </w:tc>
      </w:tr>
      <w:tr w:rsidR="006D4C90" w:rsidRPr="007942B7" w:rsidTr="001C7D84">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Claridad</w:t>
            </w:r>
          </w:p>
        </w:tc>
        <w:tc>
          <w:tcPr>
            <w:tcW w:w="567" w:type="dxa"/>
          </w:tcPr>
          <w:p w:rsidR="006D4C90" w:rsidRPr="007942B7" w:rsidRDefault="006D4C90" w:rsidP="00104DE9">
            <w:pPr>
              <w:jc w:val="center"/>
              <w:rPr>
                <w:sz w:val="20"/>
                <w:szCs w:val="20"/>
              </w:rPr>
            </w:pPr>
          </w:p>
        </w:tc>
        <w:tc>
          <w:tcPr>
            <w:tcW w:w="3203" w:type="dxa"/>
          </w:tcPr>
          <w:p w:rsidR="006D4C90" w:rsidRPr="007942B7" w:rsidRDefault="006D4C90" w:rsidP="00AC4A6F">
            <w:pPr>
              <w:rPr>
                <w:sz w:val="20"/>
                <w:szCs w:val="20"/>
              </w:rPr>
            </w:pPr>
          </w:p>
        </w:tc>
      </w:tr>
      <w:tr w:rsidR="006D4C90" w:rsidRPr="007942B7" w:rsidTr="001C7D84">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tcPr>
          <w:p w:rsidR="006D4C90" w:rsidRPr="007942B7" w:rsidRDefault="007D69D9" w:rsidP="00104DE9">
            <w:pPr>
              <w:jc w:val="center"/>
              <w:rPr>
                <w:sz w:val="20"/>
                <w:szCs w:val="20"/>
              </w:rPr>
            </w:pPr>
            <w:r>
              <w:rPr>
                <w:sz w:val="20"/>
                <w:szCs w:val="20"/>
              </w:rPr>
              <w:t>X</w:t>
            </w:r>
          </w:p>
        </w:tc>
        <w:tc>
          <w:tcPr>
            <w:tcW w:w="3203" w:type="dxa"/>
          </w:tcPr>
          <w:p w:rsidR="006D4C90" w:rsidRPr="007942B7" w:rsidRDefault="007A478C" w:rsidP="00BA14E6">
            <w:pPr>
              <w:rPr>
                <w:sz w:val="20"/>
                <w:szCs w:val="20"/>
              </w:rPr>
            </w:pPr>
            <w:r>
              <w:rPr>
                <w:sz w:val="20"/>
                <w:szCs w:val="20"/>
              </w:rPr>
              <w:t>La información se ofrece en formato que permite tratamiento</w:t>
            </w:r>
          </w:p>
        </w:tc>
      </w:tr>
      <w:tr w:rsidR="006D4C90" w:rsidRPr="007942B7" w:rsidTr="001C7D84">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tcPr>
          <w:p w:rsidR="006D4C90" w:rsidRPr="007942B7" w:rsidRDefault="006D4C90" w:rsidP="00104DE9">
            <w:pPr>
              <w:jc w:val="center"/>
              <w:rPr>
                <w:sz w:val="20"/>
                <w:szCs w:val="20"/>
              </w:rPr>
            </w:pPr>
          </w:p>
        </w:tc>
        <w:tc>
          <w:tcPr>
            <w:tcW w:w="3203" w:type="dxa"/>
          </w:tcPr>
          <w:p w:rsidR="006D4C90" w:rsidRPr="007942B7" w:rsidRDefault="006D4C90" w:rsidP="00AC4A6F">
            <w:pPr>
              <w:rPr>
                <w:sz w:val="20"/>
                <w:szCs w:val="20"/>
              </w:rPr>
            </w:pPr>
          </w:p>
        </w:tc>
      </w:tr>
      <w:tr w:rsidR="001C7D84" w:rsidRPr="001C7D84" w:rsidTr="001C7D84">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tcPr>
          <w:p w:rsidR="001C7D84" w:rsidRPr="001C7D84" w:rsidRDefault="007D69D9" w:rsidP="00072B7E">
            <w:pPr>
              <w:jc w:val="center"/>
              <w:rPr>
                <w:b/>
                <w:sz w:val="20"/>
                <w:szCs w:val="20"/>
              </w:rPr>
            </w:pPr>
            <w:r>
              <w:rPr>
                <w:b/>
                <w:sz w:val="20"/>
                <w:szCs w:val="20"/>
              </w:rPr>
              <w:t>3</w:t>
            </w:r>
          </w:p>
        </w:tc>
        <w:tc>
          <w:tcPr>
            <w:tcW w:w="3203" w:type="dxa"/>
          </w:tcPr>
          <w:p w:rsidR="001C7D84" w:rsidRPr="001C7D84" w:rsidRDefault="001C7D84" w:rsidP="00AC4A6F">
            <w:pPr>
              <w:rPr>
                <w:b/>
                <w:sz w:val="20"/>
                <w:szCs w:val="20"/>
              </w:rPr>
            </w:pPr>
          </w:p>
        </w:tc>
      </w:tr>
    </w:tbl>
    <w:p w:rsidR="003A1694" w:rsidRDefault="003A1694" w:rsidP="00AC4A6F"/>
    <w:p w:rsidR="00FA5AFD" w:rsidRDefault="007A478C" w:rsidP="00AC4A6F">
      <w:r>
        <w:t>Se ha</w:t>
      </w:r>
      <w:r w:rsidR="00613DF4">
        <w:t>n</w:t>
      </w:r>
      <w:r>
        <w:t xml:space="preserve"> aplicado la totalidad de las recomendaciones efectuadas. </w:t>
      </w:r>
    </w:p>
    <w:p w:rsidR="00E17DF6" w:rsidRDefault="00E17DF6" w:rsidP="00AC4A6F"/>
    <w:p w:rsidR="00E17DF6" w:rsidRDefault="00613DF4" w:rsidP="007640D8">
      <w:pPr>
        <w:jc w:val="both"/>
      </w:pPr>
      <w:r>
        <w:t>Aunque la actualización</w:t>
      </w:r>
      <w:r w:rsidR="007640D8">
        <w:t xml:space="preserve"> de la información </w:t>
      </w:r>
      <w:r>
        <w:t xml:space="preserve">no fue objeto de recomendación en la evaluación </w:t>
      </w:r>
      <w:r w:rsidR="00F0367C">
        <w:t>de 2020</w:t>
      </w:r>
      <w:r>
        <w:t xml:space="preserve"> dado que en la web existían referencias </w:t>
      </w:r>
      <w:r w:rsidR="007640D8">
        <w:t xml:space="preserve">que permitían conocer que la información publicada en el Portal estaba actualizada, al efectuar la revisión se ha observado que salvo en el caso del Registro de Actividades de Tratamiento, las restantes fechas de actualización corresponden a los meses de julio y agosto de 2020 incluso cuando se han publicado documentos datados en fechas posteriores, como es el caso de los convenios.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DB10FD" w:rsidRDefault="00DB10FD" w:rsidP="00AC4A6F"/>
    <w:p w:rsidR="00DB10FD" w:rsidRDefault="00DB10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1F2C" w:rsidRPr="00F31BC3" w:rsidRDefault="003F1F2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F31000"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00" w:type="pct"/>
        <w:tblLayout w:type="fixed"/>
        <w:tblCellMar>
          <w:left w:w="70" w:type="dxa"/>
          <w:right w:w="70" w:type="dxa"/>
        </w:tblCellMar>
        <w:tblLook w:val="04A0" w:firstRow="1" w:lastRow="0" w:firstColumn="1" w:lastColumn="0" w:noHBand="0" w:noVBand="1"/>
      </w:tblPr>
      <w:tblGrid>
        <w:gridCol w:w="1711"/>
        <w:gridCol w:w="770"/>
        <w:gridCol w:w="155"/>
        <w:gridCol w:w="836"/>
        <w:gridCol w:w="91"/>
        <w:gridCol w:w="902"/>
        <w:gridCol w:w="25"/>
        <w:gridCol w:w="823"/>
        <w:gridCol w:w="104"/>
        <w:gridCol w:w="891"/>
        <w:gridCol w:w="1275"/>
        <w:gridCol w:w="1419"/>
        <w:gridCol w:w="424"/>
        <w:gridCol w:w="45"/>
        <w:gridCol w:w="1090"/>
        <w:gridCol w:w="45"/>
      </w:tblGrid>
      <w:tr w:rsidR="00F31000" w:rsidRPr="006D4C90" w:rsidTr="00F31000">
        <w:trPr>
          <w:trHeight w:val="315"/>
        </w:trPr>
        <w:tc>
          <w:tcPr>
            <w:tcW w:w="807"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363"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467" w:type="pct"/>
            <w:gridSpan w:val="2"/>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2607" w:type="pct"/>
            <w:gridSpan w:val="8"/>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756" w:type="pct"/>
            <w:gridSpan w:val="4"/>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31000" w:rsidRPr="006D4C90" w:rsidTr="00F31000">
        <w:trPr>
          <w:trHeight w:val="1895"/>
        </w:trPr>
        <w:tc>
          <w:tcPr>
            <w:tcW w:w="807"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363"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67" w:type="pct"/>
            <w:gridSpan w:val="2"/>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68" w:type="pct"/>
            <w:gridSpan w:val="2"/>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400" w:type="pct"/>
            <w:gridSpan w:val="2"/>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469" w:type="pct"/>
            <w:gridSpan w:val="2"/>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601"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669"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756" w:type="pct"/>
            <w:gridSpan w:val="4"/>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F31000">
        <w:trPr>
          <w:trHeight w:val="315"/>
        </w:trPr>
        <w:tc>
          <w:tcPr>
            <w:tcW w:w="5000" w:type="pct"/>
            <w:gridSpan w:val="16"/>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F31000" w:rsidRPr="00613DF4" w:rsidTr="00F31000">
        <w:trPr>
          <w:trHeight w:val="315"/>
        </w:trPr>
        <w:tc>
          <w:tcPr>
            <w:tcW w:w="807" w:type="pct"/>
            <w:tcBorders>
              <w:left w:val="nil"/>
              <w:bottom w:val="nil"/>
              <w:right w:val="nil"/>
            </w:tcBorders>
            <w:shd w:val="clear" w:color="auto" w:fill="F5FDFA"/>
            <w:noWrap/>
            <w:hideMark/>
          </w:tcPr>
          <w:p w:rsidR="00613DF4" w:rsidRPr="006D4C90" w:rsidRDefault="00613DF4"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36" w:type="pct"/>
            <w:gridSpan w:val="2"/>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20" w:type="pct"/>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01" w:type="pct"/>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69" w:type="pct"/>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50,0</w:t>
            </w:r>
          </w:p>
        </w:tc>
        <w:tc>
          <w:tcPr>
            <w:tcW w:w="756" w:type="pct"/>
            <w:gridSpan w:val="4"/>
            <w:tcBorders>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92,9</w:t>
            </w:r>
          </w:p>
        </w:tc>
      </w:tr>
      <w:tr w:rsidR="00F31000" w:rsidRPr="00613DF4" w:rsidTr="00F31000">
        <w:trPr>
          <w:trHeight w:val="315"/>
        </w:trPr>
        <w:tc>
          <w:tcPr>
            <w:tcW w:w="807" w:type="pct"/>
            <w:tcBorders>
              <w:top w:val="nil"/>
              <w:left w:val="nil"/>
              <w:right w:val="nil"/>
            </w:tcBorders>
            <w:shd w:val="clear" w:color="auto" w:fill="F5FDFA"/>
            <w:noWrap/>
            <w:hideMark/>
          </w:tcPr>
          <w:p w:rsidR="00613DF4" w:rsidRPr="006D4C90" w:rsidRDefault="00613DF4"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36" w:type="pct"/>
            <w:gridSpan w:val="2"/>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20" w:type="pct"/>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01" w:type="pct"/>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69" w:type="pct"/>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0,0</w:t>
            </w:r>
          </w:p>
        </w:tc>
        <w:tc>
          <w:tcPr>
            <w:tcW w:w="756" w:type="pct"/>
            <w:gridSpan w:val="4"/>
            <w:tcBorders>
              <w:top w:val="nil"/>
              <w:left w:val="nil"/>
              <w:right w:val="nil"/>
            </w:tcBorders>
            <w:shd w:val="clear" w:color="auto" w:fill="F5FDFA"/>
            <w:noWrap/>
          </w:tcPr>
          <w:p w:rsidR="00613DF4" w:rsidRPr="00613DF4" w:rsidRDefault="00613DF4" w:rsidP="00613DF4">
            <w:pPr>
              <w:jc w:val="center"/>
              <w:rPr>
                <w:sz w:val="16"/>
                <w:szCs w:val="16"/>
              </w:rPr>
            </w:pPr>
            <w:r w:rsidRPr="00613DF4">
              <w:rPr>
                <w:sz w:val="16"/>
                <w:szCs w:val="16"/>
              </w:rPr>
              <w:t>85,7</w:t>
            </w:r>
          </w:p>
        </w:tc>
      </w:tr>
      <w:tr w:rsidR="00F31000" w:rsidRPr="006D4C90" w:rsidTr="00F31000">
        <w:trPr>
          <w:trHeight w:val="315"/>
        </w:trPr>
        <w:tc>
          <w:tcPr>
            <w:tcW w:w="807" w:type="pct"/>
            <w:tcBorders>
              <w:top w:val="nil"/>
              <w:left w:val="nil"/>
              <w:bottom w:val="nil"/>
              <w:right w:val="nil"/>
            </w:tcBorders>
            <w:shd w:val="clear" w:color="auto" w:fill="65AD82"/>
            <w:noWrap/>
            <w:hideMark/>
          </w:tcPr>
          <w:p w:rsidR="00F31000" w:rsidRPr="006D4C90" w:rsidRDefault="00F31000" w:rsidP="00613DF4">
            <w:pPr>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36"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37"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37"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37"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Pr>
                <w:b/>
                <w:color w:val="FFFFFF" w:themeColor="background1"/>
                <w:sz w:val="16"/>
                <w:szCs w:val="16"/>
              </w:rPr>
              <w:t>100,0</w:t>
            </w:r>
            <w:r w:rsidRPr="00F31000">
              <w:rPr>
                <w:b/>
                <w:color w:val="FFFFFF" w:themeColor="background1"/>
                <w:sz w:val="16"/>
                <w:szCs w:val="16"/>
              </w:rPr>
              <w:t>%</w:t>
            </w:r>
          </w:p>
        </w:tc>
        <w:tc>
          <w:tcPr>
            <w:tcW w:w="420" w:type="pct"/>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601" w:type="pct"/>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669" w:type="pct"/>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21,4%</w:t>
            </w:r>
          </w:p>
        </w:tc>
        <w:tc>
          <w:tcPr>
            <w:tcW w:w="756" w:type="pct"/>
            <w:gridSpan w:val="4"/>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88,8%</w:t>
            </w:r>
          </w:p>
        </w:tc>
      </w:tr>
      <w:tr w:rsidR="00CC48E8" w:rsidRPr="006D4C90" w:rsidTr="00F31000">
        <w:trPr>
          <w:trHeight w:val="315"/>
        </w:trPr>
        <w:tc>
          <w:tcPr>
            <w:tcW w:w="5000" w:type="pct"/>
            <w:gridSpan w:val="16"/>
            <w:tcBorders>
              <w:top w:val="nil"/>
              <w:left w:val="nil"/>
              <w:bottom w:val="nil"/>
              <w:right w:val="nil"/>
            </w:tcBorders>
            <w:shd w:val="clear" w:color="auto" w:fill="F2F2F2" w:themeFill="background1" w:themeFillShade="F2"/>
            <w:noWrap/>
            <w:hideMark/>
          </w:tcPr>
          <w:p w:rsidR="00CC48E8" w:rsidRPr="006D4C90" w:rsidRDefault="00CC48E8" w:rsidP="00613DF4">
            <w:pPr>
              <w:rPr>
                <w:b/>
                <w:sz w:val="18"/>
                <w:szCs w:val="18"/>
              </w:rPr>
            </w:pPr>
            <w:r w:rsidRPr="006D4C90">
              <w:rPr>
                <w:rFonts w:eastAsia="Times New Roman" w:cs="Arial"/>
                <w:b/>
                <w:sz w:val="18"/>
                <w:szCs w:val="18"/>
                <w:lang w:eastAsia="es-ES"/>
              </w:rPr>
              <w:t>INFORMACIÓN ECONÓMICA, PRESUPUESTARIA Y ESTADÍSTICA</w:t>
            </w:r>
          </w:p>
        </w:tc>
      </w:tr>
      <w:tr w:rsidR="00613DF4" w:rsidRPr="006D4C90" w:rsidTr="00F31000">
        <w:trPr>
          <w:trHeight w:val="315"/>
        </w:trPr>
        <w:tc>
          <w:tcPr>
            <w:tcW w:w="807" w:type="pct"/>
            <w:tcBorders>
              <w:top w:val="nil"/>
              <w:left w:val="nil"/>
              <w:bottom w:val="nil"/>
              <w:right w:val="nil"/>
            </w:tcBorders>
            <w:shd w:val="clear" w:color="auto" w:fill="F5FDFA"/>
            <w:noWrap/>
            <w:hideMark/>
          </w:tcPr>
          <w:p w:rsidR="00613DF4" w:rsidRPr="00613DF4" w:rsidRDefault="00613DF4" w:rsidP="00CC48E8">
            <w:pPr>
              <w:rPr>
                <w:rFonts w:eastAsia="Times New Roman" w:cs="Arial"/>
                <w:sz w:val="16"/>
                <w:szCs w:val="16"/>
                <w:lang w:eastAsia="es-ES"/>
              </w:rPr>
            </w:pPr>
            <w:bookmarkStart w:id="0" w:name="RANGE!C12"/>
            <w:r w:rsidRPr="00613DF4">
              <w:rPr>
                <w:rFonts w:eastAsia="Times New Roman" w:cs="Arial"/>
                <w:sz w:val="16"/>
                <w:szCs w:val="16"/>
                <w:lang w:eastAsia="es-ES"/>
              </w:rPr>
              <w:t>Contratos</w:t>
            </w:r>
            <w:bookmarkEnd w:id="0"/>
          </w:p>
        </w:tc>
        <w:tc>
          <w:tcPr>
            <w:tcW w:w="4193" w:type="pct"/>
            <w:gridSpan w:val="15"/>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No aplicable</w:t>
            </w:r>
          </w:p>
        </w:tc>
      </w:tr>
      <w:tr w:rsidR="00F31000" w:rsidRPr="006D4C90" w:rsidTr="00F31000">
        <w:trPr>
          <w:trHeight w:val="315"/>
        </w:trPr>
        <w:tc>
          <w:tcPr>
            <w:tcW w:w="807" w:type="pct"/>
            <w:tcBorders>
              <w:top w:val="nil"/>
              <w:left w:val="nil"/>
              <w:bottom w:val="nil"/>
              <w:right w:val="nil"/>
            </w:tcBorders>
            <w:shd w:val="clear" w:color="auto" w:fill="F5FDFA"/>
            <w:noWrap/>
            <w:hideMark/>
          </w:tcPr>
          <w:p w:rsidR="00613DF4" w:rsidRPr="00613DF4" w:rsidRDefault="00613DF4" w:rsidP="00CC48E8">
            <w:pPr>
              <w:rPr>
                <w:rFonts w:eastAsia="Times New Roman" w:cs="Arial"/>
                <w:sz w:val="16"/>
                <w:szCs w:val="16"/>
                <w:lang w:eastAsia="es-ES"/>
              </w:rPr>
            </w:pPr>
            <w:r w:rsidRPr="00613DF4">
              <w:rPr>
                <w:rFonts w:eastAsia="Times New Roman" w:cs="Arial"/>
                <w:sz w:val="16"/>
                <w:szCs w:val="16"/>
                <w:lang w:eastAsia="es-ES"/>
              </w:rPr>
              <w:t>Convenios</w:t>
            </w:r>
          </w:p>
        </w:tc>
        <w:tc>
          <w:tcPr>
            <w:tcW w:w="436"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20" w:type="pct"/>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01" w:type="pct"/>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69" w:type="pct"/>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756" w:type="pct"/>
            <w:gridSpan w:val="4"/>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bookmarkStart w:id="1" w:name="_GoBack"/>
        <w:bookmarkEnd w:id="1"/>
      </w:tr>
      <w:tr w:rsidR="00F31000" w:rsidRPr="006D4C90" w:rsidTr="00F31000">
        <w:trPr>
          <w:trHeight w:val="315"/>
        </w:trPr>
        <w:tc>
          <w:tcPr>
            <w:tcW w:w="807" w:type="pct"/>
            <w:tcBorders>
              <w:top w:val="nil"/>
              <w:left w:val="nil"/>
              <w:bottom w:val="nil"/>
              <w:right w:val="nil"/>
            </w:tcBorders>
            <w:shd w:val="clear" w:color="auto" w:fill="F5FDFA"/>
            <w:noWrap/>
          </w:tcPr>
          <w:p w:rsidR="00613DF4" w:rsidRPr="00613DF4" w:rsidRDefault="00613DF4" w:rsidP="00CC48E8">
            <w:pPr>
              <w:rPr>
                <w:rFonts w:eastAsia="Times New Roman" w:cs="Arial"/>
                <w:sz w:val="16"/>
                <w:szCs w:val="16"/>
                <w:lang w:eastAsia="es-ES"/>
              </w:rPr>
            </w:pPr>
            <w:r w:rsidRPr="00613DF4">
              <w:rPr>
                <w:rFonts w:eastAsia="Times New Roman" w:cs="Arial"/>
                <w:sz w:val="16"/>
                <w:szCs w:val="16"/>
                <w:lang w:eastAsia="es-ES"/>
              </w:rPr>
              <w:t>Subvenciones</w:t>
            </w:r>
          </w:p>
        </w:tc>
        <w:tc>
          <w:tcPr>
            <w:tcW w:w="436"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37" w:type="pct"/>
            <w:gridSpan w:val="2"/>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420" w:type="pct"/>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01" w:type="pct"/>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100,0</w:t>
            </w:r>
          </w:p>
        </w:tc>
        <w:tc>
          <w:tcPr>
            <w:tcW w:w="669" w:type="pct"/>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50,0</w:t>
            </w:r>
          </w:p>
        </w:tc>
        <w:tc>
          <w:tcPr>
            <w:tcW w:w="756" w:type="pct"/>
            <w:gridSpan w:val="4"/>
            <w:tcBorders>
              <w:top w:val="nil"/>
              <w:left w:val="nil"/>
              <w:bottom w:val="nil"/>
              <w:right w:val="nil"/>
            </w:tcBorders>
            <w:shd w:val="clear" w:color="auto" w:fill="F5FDFA"/>
            <w:noWrap/>
          </w:tcPr>
          <w:p w:rsidR="00613DF4" w:rsidRPr="00613DF4" w:rsidRDefault="00613DF4" w:rsidP="00613DF4">
            <w:pPr>
              <w:jc w:val="center"/>
              <w:rPr>
                <w:sz w:val="16"/>
                <w:szCs w:val="16"/>
              </w:rPr>
            </w:pPr>
            <w:r w:rsidRPr="00613DF4">
              <w:rPr>
                <w:sz w:val="16"/>
                <w:szCs w:val="16"/>
              </w:rPr>
              <w:t>92,9</w:t>
            </w:r>
          </w:p>
        </w:tc>
      </w:tr>
      <w:tr w:rsidR="00F31000" w:rsidRPr="006D4C90" w:rsidTr="00F31000">
        <w:trPr>
          <w:gridAfter w:val="1"/>
          <w:wAfter w:w="22" w:type="pct"/>
          <w:trHeight w:val="315"/>
        </w:trPr>
        <w:tc>
          <w:tcPr>
            <w:tcW w:w="807" w:type="pct"/>
            <w:tcBorders>
              <w:top w:val="nil"/>
              <w:left w:val="nil"/>
              <w:bottom w:val="nil"/>
              <w:right w:val="nil"/>
            </w:tcBorders>
            <w:shd w:val="clear" w:color="auto" w:fill="65AD82"/>
            <w:noWrap/>
            <w:hideMark/>
          </w:tcPr>
          <w:p w:rsidR="00F31000" w:rsidRPr="006D4C90" w:rsidRDefault="00F31000"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36"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37"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37"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37"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100,0%</w:t>
            </w:r>
          </w:p>
        </w:tc>
        <w:tc>
          <w:tcPr>
            <w:tcW w:w="420" w:type="pct"/>
            <w:tcBorders>
              <w:top w:val="nil"/>
              <w:left w:val="nil"/>
              <w:bottom w:val="nil"/>
              <w:right w:val="nil"/>
            </w:tcBorders>
            <w:shd w:val="clear" w:color="auto" w:fill="65AD82"/>
            <w:noWrap/>
          </w:tcPr>
          <w:p w:rsidR="00F31000" w:rsidRPr="00F31000" w:rsidRDefault="00F31000" w:rsidP="00F31000">
            <w:pPr>
              <w:rPr>
                <w:b/>
                <w:color w:val="FFFFFF" w:themeColor="background1"/>
                <w:sz w:val="16"/>
                <w:szCs w:val="16"/>
              </w:rPr>
            </w:pPr>
            <w:r>
              <w:rPr>
                <w:b/>
                <w:color w:val="FFFFFF" w:themeColor="background1"/>
                <w:sz w:val="16"/>
                <w:szCs w:val="16"/>
              </w:rPr>
              <w:t xml:space="preserve">    </w:t>
            </w:r>
            <w:r w:rsidRPr="00F31000">
              <w:rPr>
                <w:b/>
                <w:color w:val="FFFFFF" w:themeColor="background1"/>
                <w:sz w:val="16"/>
                <w:szCs w:val="16"/>
              </w:rPr>
              <w:t>100,0%</w:t>
            </w:r>
          </w:p>
        </w:tc>
        <w:tc>
          <w:tcPr>
            <w:tcW w:w="601" w:type="pct"/>
            <w:tcBorders>
              <w:top w:val="nil"/>
              <w:left w:val="nil"/>
              <w:bottom w:val="nil"/>
              <w:right w:val="nil"/>
            </w:tcBorders>
            <w:shd w:val="clear" w:color="auto" w:fill="65AD82"/>
            <w:noWrap/>
          </w:tcPr>
          <w:p w:rsidR="00F31000" w:rsidRPr="00F31000" w:rsidRDefault="00F31000" w:rsidP="00F31000">
            <w:pPr>
              <w:rPr>
                <w:b/>
                <w:color w:val="FFFFFF" w:themeColor="background1"/>
                <w:sz w:val="16"/>
                <w:szCs w:val="16"/>
              </w:rPr>
            </w:pPr>
            <w:r>
              <w:rPr>
                <w:b/>
                <w:color w:val="FFFFFF" w:themeColor="background1"/>
                <w:sz w:val="16"/>
                <w:szCs w:val="16"/>
              </w:rPr>
              <w:t xml:space="preserve">        </w:t>
            </w:r>
            <w:r w:rsidRPr="00F31000">
              <w:rPr>
                <w:b/>
                <w:color w:val="FFFFFF" w:themeColor="background1"/>
                <w:sz w:val="16"/>
                <w:szCs w:val="16"/>
              </w:rPr>
              <w:t>100,0%</w:t>
            </w:r>
          </w:p>
        </w:tc>
        <w:tc>
          <w:tcPr>
            <w:tcW w:w="869" w:type="pct"/>
            <w:gridSpan w:val="2"/>
            <w:tcBorders>
              <w:top w:val="nil"/>
              <w:left w:val="nil"/>
              <w:bottom w:val="nil"/>
              <w:right w:val="nil"/>
            </w:tcBorders>
            <w:shd w:val="clear" w:color="auto" w:fill="65AD82"/>
            <w:noWrap/>
          </w:tcPr>
          <w:p w:rsidR="00F31000" w:rsidRPr="00F31000" w:rsidRDefault="00F31000" w:rsidP="00F31000">
            <w:pPr>
              <w:jc w:val="center"/>
              <w:rPr>
                <w:b/>
                <w:color w:val="FFFFFF" w:themeColor="background1"/>
                <w:sz w:val="16"/>
                <w:szCs w:val="16"/>
              </w:rPr>
            </w:pPr>
            <w:r w:rsidRPr="00F31000">
              <w:rPr>
                <w:b/>
                <w:color w:val="FFFFFF" w:themeColor="background1"/>
                <w:sz w:val="16"/>
                <w:szCs w:val="16"/>
              </w:rPr>
              <w:t>75,0%</w:t>
            </w:r>
          </w:p>
        </w:tc>
        <w:tc>
          <w:tcPr>
            <w:tcW w:w="535" w:type="pct"/>
            <w:gridSpan w:val="2"/>
            <w:tcBorders>
              <w:top w:val="nil"/>
              <w:left w:val="nil"/>
              <w:bottom w:val="nil"/>
              <w:right w:val="nil"/>
            </w:tcBorders>
            <w:shd w:val="clear" w:color="auto" w:fill="65AD82"/>
            <w:noWrap/>
          </w:tcPr>
          <w:p w:rsidR="00F31000" w:rsidRPr="006D4C90" w:rsidRDefault="00F31000" w:rsidP="00F31000">
            <w:pPr>
              <w:rPr>
                <w:b/>
                <w:color w:val="FFFFFF" w:themeColor="background1"/>
                <w:sz w:val="18"/>
                <w:szCs w:val="18"/>
              </w:rPr>
            </w:pPr>
            <w:r>
              <w:rPr>
                <w:b/>
                <w:color w:val="FFFFFF" w:themeColor="background1"/>
                <w:sz w:val="18"/>
                <w:szCs w:val="18"/>
              </w:rPr>
              <w:t xml:space="preserve">    96,4</w:t>
            </w:r>
          </w:p>
        </w:tc>
      </w:tr>
      <w:tr w:rsidR="00FA5AFD" w:rsidRPr="006D4C90" w:rsidTr="00F31000">
        <w:trPr>
          <w:trHeight w:val="315"/>
        </w:trPr>
        <w:tc>
          <w:tcPr>
            <w:tcW w:w="4465" w:type="pct"/>
            <w:gridSpan w:val="14"/>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535" w:type="pct"/>
            <w:gridSpan w:val="2"/>
            <w:tcBorders>
              <w:top w:val="single" w:sz="4" w:space="0" w:color="333333"/>
              <w:left w:val="single" w:sz="4" w:space="0" w:color="993366"/>
              <w:bottom w:val="single" w:sz="4" w:space="0" w:color="333333"/>
              <w:right w:val="nil"/>
            </w:tcBorders>
            <w:shd w:val="clear" w:color="auto" w:fill="auto"/>
            <w:noWrap/>
          </w:tcPr>
          <w:p w:rsidR="00FA5AFD" w:rsidRPr="006D4C90" w:rsidRDefault="00613DF4" w:rsidP="00BA3611">
            <w:pPr>
              <w:jc w:val="right"/>
              <w:rPr>
                <w:rFonts w:eastAsia="Times New Roman" w:cs="Arial"/>
                <w:b/>
                <w:sz w:val="18"/>
                <w:szCs w:val="18"/>
                <w:lang w:eastAsia="es-ES"/>
              </w:rPr>
            </w:pPr>
            <w:r>
              <w:rPr>
                <w:rFonts w:eastAsia="Times New Roman" w:cs="Arial"/>
                <w:b/>
                <w:sz w:val="18"/>
                <w:szCs w:val="18"/>
                <w:lang w:eastAsia="es-ES"/>
              </w:rPr>
              <w:t>90,5</w:t>
            </w:r>
          </w:p>
        </w:tc>
      </w:tr>
    </w:tbl>
    <w:p w:rsidR="00FA5AFD" w:rsidRDefault="00FA5AFD" w:rsidP="00F05E2C">
      <w:pPr>
        <w:pStyle w:val="Cuerpodelboletn"/>
        <w:rPr>
          <w:lang w:bidi="es-ES"/>
        </w:rPr>
      </w:pPr>
    </w:p>
    <w:p w:rsidR="00714C54" w:rsidRDefault="007640D8" w:rsidP="00F05E2C">
      <w:pPr>
        <w:pStyle w:val="Cuerpodelboletn"/>
      </w:pPr>
      <w:r>
        <w:t xml:space="preserve">El Índice de Cumplimiento de la Información Obligatoria alcanza un 90,5%, incrementándose en 1,5 puntos porcentuales respecto de 2020. El desfase de las fechas de revisión o actualización que se indican en los distintos apartados del Portal explican que el nivel de cumplimiento no haya alcanzado un 100%.  </w:t>
      </w: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3F1F2C" w:rsidRDefault="003F1F2C" w:rsidP="003F1F2C">
      <w:pPr>
        <w:pStyle w:val="Cuerpodelboletn"/>
      </w:pPr>
      <w:r>
        <w:t>Este CTBG valora muy positivamente el esfuerzo realizado por el Consejo General de la Abogacía para aplicar las recomendaciones efectuadas en la evaluación realizada en 2020. Se ha aplicado el 100% de estas recomendaciones.</w:t>
      </w:r>
    </w:p>
    <w:p w:rsidR="003F1F2C" w:rsidRDefault="003F1F2C" w:rsidP="003F1F2C">
      <w:pPr>
        <w:pStyle w:val="Cuerpodelboletn"/>
      </w:pPr>
      <w:r>
        <w:t>Este esfuerzo se ve reflejado en el incremento del Índice de Cumplimiento de la Información Obligatoria que ha pasado de un nivel de cumplimiento del 89% a un 90,5%.</w:t>
      </w:r>
    </w:p>
    <w:p w:rsidR="003F1F2C" w:rsidRDefault="003F1F2C" w:rsidP="003F1F2C">
      <w:pPr>
        <w:pStyle w:val="Cuerpodelboletn"/>
      </w:pPr>
    </w:p>
    <w:p w:rsidR="003F1F2C" w:rsidRDefault="003F1F2C" w:rsidP="003F1F2C">
      <w:pPr>
        <w:pStyle w:val="Cuerpodelboletn"/>
      </w:pPr>
      <w:r>
        <w:lastRenderedPageBreak/>
        <w:t xml:space="preserve">Como puede apreciarse en la tabla de valoración del ICIO, según bloques de información y atributos, y como se ha indicado en apartados anteriores, es el desfase de las fechas de revisión o actualización de la información que figuran en el Portal  lo que explica que el nivel de cumplimiento no haya alcanzado un 100%. </w:t>
      </w:r>
    </w:p>
    <w:p w:rsidR="003F1F2C" w:rsidRDefault="003F1F2C" w:rsidP="003F1F2C">
      <w:pPr>
        <w:pStyle w:val="Cuerpodelboletn"/>
      </w:pPr>
    </w:p>
    <w:p w:rsidR="003F1F2C" w:rsidRDefault="003F1F2C" w:rsidP="003F1F2C">
      <w:pPr>
        <w:pStyle w:val="Cuerpodelboletn"/>
      </w:pPr>
    </w:p>
    <w:p w:rsidR="003F1F2C" w:rsidRDefault="003F1F2C" w:rsidP="003F1F2C">
      <w:pPr>
        <w:pStyle w:val="Cuerpodelboletn"/>
      </w:pPr>
    </w:p>
    <w:p w:rsidR="003F1F2C" w:rsidRDefault="003F1F2C" w:rsidP="003F1F2C">
      <w:pPr>
        <w:pStyle w:val="Cuerpodelboletn"/>
      </w:pPr>
      <w:r>
        <w:t>Madrid, junio de 2021</w:t>
      </w:r>
    </w:p>
    <w:p w:rsidR="00C259F4" w:rsidRDefault="003F1F2C" w:rsidP="003F1F2C">
      <w:pPr>
        <w:pStyle w:val="Cuerpodelboletn"/>
        <w:sectPr w:rsidR="00C259F4" w:rsidSect="00C259F4">
          <w:type w:val="continuous"/>
          <w:pgSz w:w="11906" w:h="16838" w:code="9"/>
          <w:pgMar w:top="1440" w:right="720" w:bottom="1440" w:left="720" w:header="720" w:footer="720" w:gutter="0"/>
          <w:cols w:space="720"/>
          <w:docGrid w:linePitch="326"/>
        </w:sectPr>
      </w:pPr>
      <w:r>
        <w:t> </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3F1F2C" w:rsidRDefault="003F1F2C"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1F2C" w:rsidRPr="00F31BC3" w:rsidRDefault="003F1F2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1F2C" w:rsidRPr="00F31BC3" w:rsidRDefault="003F1F2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2C" w:rsidRDefault="003F1F2C" w:rsidP="00F31BC3">
      <w:r>
        <w:separator/>
      </w:r>
    </w:p>
  </w:endnote>
  <w:endnote w:type="continuationSeparator" w:id="0">
    <w:p w:rsidR="003F1F2C" w:rsidRDefault="003F1F2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2C" w:rsidRDefault="003F1F2C" w:rsidP="00F31BC3">
      <w:r>
        <w:separator/>
      </w:r>
    </w:p>
  </w:footnote>
  <w:footnote w:type="continuationSeparator" w:id="0">
    <w:p w:rsidR="003F1F2C" w:rsidRDefault="003F1F2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7CDD"/>
    <w:rsid w:val="0019448F"/>
    <w:rsid w:val="001A0DA8"/>
    <w:rsid w:val="001A5305"/>
    <w:rsid w:val="001C3E2F"/>
    <w:rsid w:val="001C4509"/>
    <w:rsid w:val="001C7C78"/>
    <w:rsid w:val="001C7D84"/>
    <w:rsid w:val="001E5AAD"/>
    <w:rsid w:val="0021682B"/>
    <w:rsid w:val="00231D61"/>
    <w:rsid w:val="00243294"/>
    <w:rsid w:val="00244EDA"/>
    <w:rsid w:val="002467FA"/>
    <w:rsid w:val="00263F79"/>
    <w:rsid w:val="002D0702"/>
    <w:rsid w:val="002D27E4"/>
    <w:rsid w:val="002E409F"/>
    <w:rsid w:val="0031769F"/>
    <w:rsid w:val="00347877"/>
    <w:rsid w:val="00355DC0"/>
    <w:rsid w:val="003A1694"/>
    <w:rsid w:val="003A390C"/>
    <w:rsid w:val="003B57E6"/>
    <w:rsid w:val="003B6B96"/>
    <w:rsid w:val="003D2C4A"/>
    <w:rsid w:val="003E564B"/>
    <w:rsid w:val="003E5D2F"/>
    <w:rsid w:val="003F1F2C"/>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B1544"/>
    <w:rsid w:val="005C4778"/>
    <w:rsid w:val="005E2505"/>
    <w:rsid w:val="005E6704"/>
    <w:rsid w:val="00603DFC"/>
    <w:rsid w:val="00613DF4"/>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40D8"/>
    <w:rsid w:val="0076640C"/>
    <w:rsid w:val="00767C60"/>
    <w:rsid w:val="00777FB3"/>
    <w:rsid w:val="00781700"/>
    <w:rsid w:val="00790143"/>
    <w:rsid w:val="007942B7"/>
    <w:rsid w:val="007954A6"/>
    <w:rsid w:val="007A478C"/>
    <w:rsid w:val="007D1701"/>
    <w:rsid w:val="007D5CBF"/>
    <w:rsid w:val="007D69D9"/>
    <w:rsid w:val="007F1D56"/>
    <w:rsid w:val="007F5F9D"/>
    <w:rsid w:val="00803D20"/>
    <w:rsid w:val="00821526"/>
    <w:rsid w:val="0082470D"/>
    <w:rsid w:val="00825ACB"/>
    <w:rsid w:val="00882A5B"/>
    <w:rsid w:val="00891E6F"/>
    <w:rsid w:val="00894358"/>
    <w:rsid w:val="0089455A"/>
    <w:rsid w:val="00897D04"/>
    <w:rsid w:val="008A5AAE"/>
    <w:rsid w:val="00902A71"/>
    <w:rsid w:val="009039FD"/>
    <w:rsid w:val="00903FE0"/>
    <w:rsid w:val="0091198B"/>
    <w:rsid w:val="00912DB4"/>
    <w:rsid w:val="00924C61"/>
    <w:rsid w:val="009654DA"/>
    <w:rsid w:val="00965C69"/>
    <w:rsid w:val="00982299"/>
    <w:rsid w:val="009B75CD"/>
    <w:rsid w:val="009C5469"/>
    <w:rsid w:val="009D35A4"/>
    <w:rsid w:val="009D3CC3"/>
    <w:rsid w:val="009D4047"/>
    <w:rsid w:val="009D78D2"/>
    <w:rsid w:val="009E049D"/>
    <w:rsid w:val="009E2E6F"/>
    <w:rsid w:val="009E7254"/>
    <w:rsid w:val="00A03993"/>
    <w:rsid w:val="00A055C4"/>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C61D1"/>
    <w:rsid w:val="00BD18E4"/>
    <w:rsid w:val="00BD1E44"/>
    <w:rsid w:val="00BD2172"/>
    <w:rsid w:val="00BD2842"/>
    <w:rsid w:val="00C02953"/>
    <w:rsid w:val="00C1290B"/>
    <w:rsid w:val="00C213EC"/>
    <w:rsid w:val="00C24010"/>
    <w:rsid w:val="00C259F4"/>
    <w:rsid w:val="00C27705"/>
    <w:rsid w:val="00C3228C"/>
    <w:rsid w:val="00C4050E"/>
    <w:rsid w:val="00C4430D"/>
    <w:rsid w:val="00C451D3"/>
    <w:rsid w:val="00C54D21"/>
    <w:rsid w:val="00C61E7F"/>
    <w:rsid w:val="00C66E73"/>
    <w:rsid w:val="00C91330"/>
    <w:rsid w:val="00CC48E8"/>
    <w:rsid w:val="00CD3DE8"/>
    <w:rsid w:val="00CF21EB"/>
    <w:rsid w:val="00D014E1"/>
    <w:rsid w:val="00D01CA1"/>
    <w:rsid w:val="00D1453D"/>
    <w:rsid w:val="00D41F4C"/>
    <w:rsid w:val="00D520C8"/>
    <w:rsid w:val="00D70570"/>
    <w:rsid w:val="00D96084"/>
    <w:rsid w:val="00DA6660"/>
    <w:rsid w:val="00DB10FD"/>
    <w:rsid w:val="00DC5B52"/>
    <w:rsid w:val="00DD515F"/>
    <w:rsid w:val="00DF25D7"/>
    <w:rsid w:val="00DF555F"/>
    <w:rsid w:val="00E023B5"/>
    <w:rsid w:val="00E17DF6"/>
    <w:rsid w:val="00E33169"/>
    <w:rsid w:val="00E51AC4"/>
    <w:rsid w:val="00E6528C"/>
    <w:rsid w:val="00E73F4D"/>
    <w:rsid w:val="00EC6A3E"/>
    <w:rsid w:val="00ED30F1"/>
    <w:rsid w:val="00ED57F6"/>
    <w:rsid w:val="00ED6104"/>
    <w:rsid w:val="00ED7D79"/>
    <w:rsid w:val="00EE5F85"/>
    <w:rsid w:val="00EF5B46"/>
    <w:rsid w:val="00EF6910"/>
    <w:rsid w:val="00F0367C"/>
    <w:rsid w:val="00F04B4F"/>
    <w:rsid w:val="00F05E2C"/>
    <w:rsid w:val="00F132F9"/>
    <w:rsid w:val="00F24BAF"/>
    <w:rsid w:val="00F25044"/>
    <w:rsid w:val="00F31000"/>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9A59D0"/>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BFC0D5F-683A-4FB0-A611-8C42E57F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1217</TotalTime>
  <Pages>4</Pages>
  <Words>789</Words>
  <Characters>4343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8</cp:revision>
  <cp:lastPrinted>2008-09-26T23:14:00Z</cp:lastPrinted>
  <dcterms:created xsi:type="dcterms:W3CDTF">2021-01-21T12:13:00Z</dcterms:created>
  <dcterms:modified xsi:type="dcterms:W3CDTF">2021-06-07T15:16:00Z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