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500367" w:rsidRDefault="00500367"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Consejo General </w:t>
                                </w:r>
                                <w:r w:rsidRPr="00BB2529">
                                  <w:rPr>
                                    <w:rFonts w:ascii="Century Gothic" w:hAnsi="Century Gothic"/>
                                    <w:sz w:val="40"/>
                                    <w:szCs w:val="40"/>
                                    <w:lang w:bidi="es-ES"/>
                                  </w:rPr>
                                  <w:t xml:space="preserve">de </w:t>
                                </w:r>
                                <w:r w:rsidRPr="006266A5">
                                  <w:rPr>
                                    <w:rFonts w:ascii="Century Gothic" w:hAnsi="Century Gothic"/>
                                    <w:sz w:val="40"/>
                                    <w:szCs w:val="40"/>
                                    <w:lang w:bidi="es-ES"/>
                                  </w:rPr>
                                  <w:t>la Arquitectura Técnica de España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EndPr/>
                      <w:sdtContent>
                        <w:p w:rsidR="006D4C90" w:rsidRDefault="006D4C90"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00C555C6" w:rsidRPr="00C555C6">
                            <w:rPr>
                              <w:rFonts w:ascii="Century Gothic" w:hAnsi="Century Gothic"/>
                              <w:sz w:val="40"/>
                              <w:szCs w:val="40"/>
                              <w:lang w:bidi="es-ES"/>
                            </w:rPr>
                            <w:t xml:space="preserve">del Consejo General </w:t>
                          </w:r>
                          <w:r w:rsidR="00BB2529" w:rsidRPr="00BB2529">
                            <w:rPr>
                              <w:rFonts w:ascii="Century Gothic" w:hAnsi="Century Gothic"/>
                              <w:sz w:val="40"/>
                              <w:szCs w:val="40"/>
                              <w:lang w:bidi="es-ES"/>
                            </w:rPr>
                            <w:t xml:space="preserve">de </w:t>
                          </w:r>
                          <w:r w:rsidR="006266A5" w:rsidRPr="006266A5">
                            <w:rPr>
                              <w:rFonts w:ascii="Century Gothic" w:hAnsi="Century Gothic"/>
                              <w:sz w:val="40"/>
                              <w:szCs w:val="40"/>
                              <w:lang w:bidi="es-ES"/>
                            </w:rPr>
                            <w:t>la Arquitectura Técnica de España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500367" w:rsidRDefault="00500367"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C02953" w:rsidRDefault="00C0295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500367"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947271" w:rsidP="00183301">
            <w:pPr>
              <w:jc w:val="center"/>
              <w:rPr>
                <w:sz w:val="20"/>
                <w:szCs w:val="20"/>
              </w:rPr>
            </w:pPr>
            <w:r>
              <w:rPr>
                <w:sz w:val="20"/>
                <w:szCs w:val="20"/>
              </w:rPr>
              <w:t>X</w:t>
            </w:r>
          </w:p>
        </w:tc>
        <w:tc>
          <w:tcPr>
            <w:tcW w:w="3203" w:type="dxa"/>
          </w:tcPr>
          <w:p w:rsidR="00183301" w:rsidRPr="007942B7" w:rsidRDefault="00500367" w:rsidP="007942B7">
            <w:pPr>
              <w:rPr>
                <w:sz w:val="20"/>
                <w:szCs w:val="20"/>
              </w:rPr>
            </w:pPr>
            <w:r>
              <w:rPr>
                <w:sz w:val="20"/>
                <w:szCs w:val="20"/>
              </w:rPr>
              <w:t>Si, en la parte superior de su página inicial</w:t>
            </w: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947271" w:rsidP="00183301">
            <w:pPr>
              <w:jc w:val="center"/>
              <w:rPr>
                <w:sz w:val="20"/>
                <w:szCs w:val="20"/>
              </w:rPr>
            </w:pPr>
            <w:r>
              <w:rPr>
                <w:sz w:val="20"/>
                <w:szCs w:val="20"/>
              </w:rPr>
              <w:t>X</w:t>
            </w:r>
          </w:p>
        </w:tc>
        <w:tc>
          <w:tcPr>
            <w:tcW w:w="3203" w:type="dxa"/>
          </w:tcPr>
          <w:p w:rsidR="00183301" w:rsidRPr="007942B7" w:rsidRDefault="00500367" w:rsidP="00A1361E">
            <w:pPr>
              <w:rPr>
                <w:sz w:val="20"/>
                <w:szCs w:val="20"/>
              </w:rPr>
            </w:pPr>
            <w:r>
              <w:rPr>
                <w:sz w:val="20"/>
                <w:szCs w:val="20"/>
              </w:rPr>
              <w:t>No se ajusta exactamente pero la información correspondiente a cada bloque de obligaciones se localiza con facilidad</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6D4C90" w:rsidRPr="007942B7" w:rsidTr="00183301">
        <w:tc>
          <w:tcPr>
            <w:tcW w:w="2093" w:type="dxa"/>
            <w:vMerge w:val="restart"/>
            <w:vAlign w:val="center"/>
          </w:tcPr>
          <w:p w:rsidR="006D4C90" w:rsidRPr="00C3228C" w:rsidRDefault="006D4C90" w:rsidP="006D4C90">
            <w:pPr>
              <w:rPr>
                <w:sz w:val="20"/>
                <w:szCs w:val="20"/>
              </w:rPr>
            </w:pPr>
            <w:r w:rsidRPr="00C3228C">
              <w:rPr>
                <w:sz w:val="20"/>
                <w:szCs w:val="20"/>
              </w:rPr>
              <w:t>Publicación de Contenidos</w:t>
            </w:r>
          </w:p>
        </w:tc>
        <w:tc>
          <w:tcPr>
            <w:tcW w:w="4819" w:type="dxa"/>
          </w:tcPr>
          <w:p w:rsidR="006D4C90" w:rsidRDefault="006D4C90" w:rsidP="00C3228C">
            <w:pPr>
              <w:rPr>
                <w:sz w:val="20"/>
                <w:szCs w:val="20"/>
              </w:rPr>
            </w:pPr>
            <w:r>
              <w:rPr>
                <w:sz w:val="20"/>
                <w:szCs w:val="20"/>
              </w:rPr>
              <w:t>Registro de Actividades de Tratamiento</w:t>
            </w:r>
          </w:p>
        </w:tc>
        <w:tc>
          <w:tcPr>
            <w:tcW w:w="567" w:type="dxa"/>
            <w:vAlign w:val="center"/>
          </w:tcPr>
          <w:p w:rsidR="006D4C90" w:rsidRDefault="007D69D9" w:rsidP="00183301">
            <w:pPr>
              <w:jc w:val="center"/>
              <w:rPr>
                <w:sz w:val="20"/>
                <w:szCs w:val="20"/>
              </w:rPr>
            </w:pPr>
            <w:r>
              <w:rPr>
                <w:sz w:val="20"/>
                <w:szCs w:val="20"/>
              </w:rPr>
              <w:t>X</w:t>
            </w:r>
          </w:p>
        </w:tc>
        <w:tc>
          <w:tcPr>
            <w:tcW w:w="3203" w:type="dxa"/>
          </w:tcPr>
          <w:p w:rsidR="006D4C90" w:rsidRPr="007942B7" w:rsidRDefault="00500367" w:rsidP="00AC4A6F">
            <w:pPr>
              <w:rPr>
                <w:sz w:val="20"/>
                <w:szCs w:val="20"/>
              </w:rPr>
            </w:pPr>
            <w:r>
              <w:rPr>
                <w:sz w:val="20"/>
                <w:szCs w:val="20"/>
              </w:rPr>
              <w:t>Si</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947271" w:rsidP="00AC4A6F">
            <w:pPr>
              <w:rPr>
                <w:sz w:val="20"/>
                <w:szCs w:val="20"/>
              </w:rPr>
            </w:pPr>
            <w:r>
              <w:rPr>
                <w:sz w:val="20"/>
                <w:szCs w:val="20"/>
              </w:rPr>
              <w:t>Descripción de la estructura organizativa</w:t>
            </w:r>
          </w:p>
        </w:tc>
        <w:tc>
          <w:tcPr>
            <w:tcW w:w="567" w:type="dxa"/>
            <w:vAlign w:val="center"/>
          </w:tcPr>
          <w:p w:rsidR="006D4C90" w:rsidRPr="007942B7" w:rsidRDefault="00183301" w:rsidP="00183301">
            <w:pPr>
              <w:jc w:val="center"/>
              <w:rPr>
                <w:sz w:val="20"/>
                <w:szCs w:val="20"/>
              </w:rPr>
            </w:pPr>
            <w:r>
              <w:rPr>
                <w:sz w:val="20"/>
                <w:szCs w:val="20"/>
              </w:rPr>
              <w:t>X</w:t>
            </w:r>
          </w:p>
        </w:tc>
        <w:tc>
          <w:tcPr>
            <w:tcW w:w="3203" w:type="dxa"/>
          </w:tcPr>
          <w:p w:rsidR="006D4C90" w:rsidRPr="007942B7" w:rsidRDefault="00500367" w:rsidP="00500367">
            <w:pPr>
              <w:rPr>
                <w:sz w:val="20"/>
                <w:szCs w:val="20"/>
              </w:rPr>
            </w:pPr>
            <w:r>
              <w:rPr>
                <w:sz w:val="20"/>
                <w:szCs w:val="20"/>
              </w:rPr>
              <w:t xml:space="preserve">Si </w:t>
            </w:r>
          </w:p>
        </w:tc>
      </w:tr>
      <w:tr w:rsidR="00947271" w:rsidRPr="007942B7" w:rsidTr="00183301">
        <w:tc>
          <w:tcPr>
            <w:tcW w:w="2093" w:type="dxa"/>
            <w:vMerge/>
          </w:tcPr>
          <w:p w:rsidR="00947271" w:rsidRPr="007942B7" w:rsidRDefault="00947271" w:rsidP="00AC4A6F">
            <w:pPr>
              <w:rPr>
                <w:sz w:val="20"/>
                <w:szCs w:val="20"/>
              </w:rPr>
            </w:pPr>
          </w:p>
        </w:tc>
        <w:tc>
          <w:tcPr>
            <w:tcW w:w="4819" w:type="dxa"/>
          </w:tcPr>
          <w:p w:rsidR="00947271" w:rsidRDefault="00947271" w:rsidP="00C3228C">
            <w:pPr>
              <w:rPr>
                <w:sz w:val="20"/>
                <w:szCs w:val="20"/>
              </w:rPr>
            </w:pPr>
            <w:r>
              <w:rPr>
                <w:sz w:val="20"/>
                <w:szCs w:val="20"/>
              </w:rPr>
              <w:t>Perfil y trayectoria profesional de los máximos responsables</w:t>
            </w:r>
          </w:p>
        </w:tc>
        <w:tc>
          <w:tcPr>
            <w:tcW w:w="567" w:type="dxa"/>
            <w:vAlign w:val="center"/>
          </w:tcPr>
          <w:p w:rsidR="00947271" w:rsidRPr="00183301" w:rsidRDefault="00947271" w:rsidP="00183301">
            <w:pPr>
              <w:jc w:val="center"/>
              <w:rPr>
                <w:sz w:val="20"/>
                <w:szCs w:val="20"/>
              </w:rPr>
            </w:pPr>
            <w:r>
              <w:rPr>
                <w:sz w:val="20"/>
                <w:szCs w:val="20"/>
              </w:rPr>
              <w:t>X</w:t>
            </w:r>
          </w:p>
        </w:tc>
        <w:tc>
          <w:tcPr>
            <w:tcW w:w="3203" w:type="dxa"/>
          </w:tcPr>
          <w:p w:rsidR="00947271" w:rsidRDefault="00500367" w:rsidP="00500367">
            <w:pPr>
              <w:rPr>
                <w:sz w:val="20"/>
                <w:szCs w:val="20"/>
              </w:rPr>
            </w:pPr>
            <w:r>
              <w:rPr>
                <w:sz w:val="20"/>
                <w:szCs w:val="20"/>
              </w:rPr>
              <w:t xml:space="preserve">Si </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Default="00183301" w:rsidP="00C3228C">
            <w:pPr>
              <w:rPr>
                <w:sz w:val="20"/>
                <w:szCs w:val="20"/>
              </w:rPr>
            </w:pPr>
            <w:r>
              <w:rPr>
                <w:sz w:val="20"/>
                <w:szCs w:val="20"/>
              </w:rPr>
              <w:t>Contratos sujetos a derecho administrativo</w:t>
            </w:r>
          </w:p>
        </w:tc>
        <w:tc>
          <w:tcPr>
            <w:tcW w:w="567" w:type="dxa"/>
            <w:vAlign w:val="center"/>
          </w:tcPr>
          <w:p w:rsidR="00183301" w:rsidRPr="00183301" w:rsidRDefault="00183301" w:rsidP="00183301">
            <w:pPr>
              <w:jc w:val="center"/>
              <w:rPr>
                <w:sz w:val="20"/>
                <w:szCs w:val="20"/>
              </w:rPr>
            </w:pPr>
            <w:r w:rsidRPr="00183301">
              <w:rPr>
                <w:sz w:val="20"/>
                <w:szCs w:val="20"/>
              </w:rPr>
              <w:t>X</w:t>
            </w:r>
          </w:p>
        </w:tc>
        <w:tc>
          <w:tcPr>
            <w:tcW w:w="3203" w:type="dxa"/>
          </w:tcPr>
          <w:p w:rsidR="00183301" w:rsidRDefault="00500367" w:rsidP="00500367">
            <w:pPr>
              <w:rPr>
                <w:sz w:val="20"/>
                <w:szCs w:val="20"/>
              </w:rPr>
            </w:pPr>
            <w:r>
              <w:rPr>
                <w:sz w:val="20"/>
                <w:szCs w:val="20"/>
              </w:rPr>
              <w:t xml:space="preserve">Si </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Default="00183301" w:rsidP="00AC4A6F">
            <w:pPr>
              <w:rPr>
                <w:sz w:val="20"/>
                <w:szCs w:val="20"/>
              </w:rPr>
            </w:pPr>
            <w:r>
              <w:rPr>
                <w:sz w:val="20"/>
                <w:szCs w:val="20"/>
              </w:rPr>
              <w:t>Subvenciones percibidas</w:t>
            </w:r>
          </w:p>
        </w:tc>
        <w:tc>
          <w:tcPr>
            <w:tcW w:w="567" w:type="dxa"/>
            <w:vAlign w:val="center"/>
          </w:tcPr>
          <w:p w:rsidR="00183301" w:rsidRPr="00183301" w:rsidRDefault="00183301" w:rsidP="00183301">
            <w:pPr>
              <w:jc w:val="center"/>
              <w:rPr>
                <w:sz w:val="20"/>
                <w:szCs w:val="20"/>
              </w:rPr>
            </w:pPr>
            <w:r w:rsidRPr="00183301">
              <w:rPr>
                <w:sz w:val="20"/>
                <w:szCs w:val="20"/>
              </w:rPr>
              <w:t>X</w:t>
            </w:r>
          </w:p>
        </w:tc>
        <w:tc>
          <w:tcPr>
            <w:tcW w:w="3203" w:type="dxa"/>
          </w:tcPr>
          <w:p w:rsidR="00183301" w:rsidRPr="007942B7" w:rsidRDefault="00500367" w:rsidP="00C3228C">
            <w:pPr>
              <w:rPr>
                <w:sz w:val="20"/>
                <w:szCs w:val="20"/>
              </w:rPr>
            </w:pPr>
            <w:r>
              <w:rPr>
                <w:sz w:val="20"/>
                <w:szCs w:val="20"/>
              </w:rPr>
              <w:t>Si, informa de que no ha concedido ni percibido subvenciones o ayudas públicas</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Default="00183301" w:rsidP="00AC4A6F">
            <w:pPr>
              <w:rPr>
                <w:sz w:val="20"/>
                <w:szCs w:val="20"/>
              </w:rPr>
            </w:pPr>
            <w:r>
              <w:rPr>
                <w:sz w:val="20"/>
                <w:szCs w:val="20"/>
              </w:rPr>
              <w:t>Convenios</w:t>
            </w:r>
          </w:p>
        </w:tc>
        <w:tc>
          <w:tcPr>
            <w:tcW w:w="567" w:type="dxa"/>
            <w:vAlign w:val="center"/>
          </w:tcPr>
          <w:p w:rsidR="00183301" w:rsidRPr="00183301" w:rsidRDefault="00183301" w:rsidP="00183301">
            <w:pPr>
              <w:jc w:val="center"/>
              <w:rPr>
                <w:sz w:val="20"/>
                <w:szCs w:val="20"/>
              </w:rPr>
            </w:pPr>
            <w:r w:rsidRPr="00183301">
              <w:rPr>
                <w:sz w:val="20"/>
                <w:szCs w:val="20"/>
              </w:rPr>
              <w:t>X</w:t>
            </w:r>
          </w:p>
        </w:tc>
        <w:tc>
          <w:tcPr>
            <w:tcW w:w="3203" w:type="dxa"/>
          </w:tcPr>
          <w:p w:rsidR="00183301" w:rsidRDefault="00500367" w:rsidP="00AC4A6F">
            <w:pPr>
              <w:rPr>
                <w:sz w:val="20"/>
                <w:szCs w:val="20"/>
              </w:rPr>
            </w:pPr>
            <w:r>
              <w:rPr>
                <w:sz w:val="20"/>
                <w:szCs w:val="20"/>
              </w:rPr>
              <w:t>Si</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947271" w:rsidP="00183301">
            <w:pPr>
              <w:jc w:val="center"/>
              <w:rPr>
                <w:sz w:val="20"/>
                <w:szCs w:val="20"/>
              </w:rPr>
            </w:pPr>
            <w:r>
              <w:rPr>
                <w:sz w:val="20"/>
                <w:szCs w:val="20"/>
              </w:rPr>
              <w:t>X</w:t>
            </w:r>
          </w:p>
        </w:tc>
        <w:tc>
          <w:tcPr>
            <w:tcW w:w="3203" w:type="dxa"/>
          </w:tcPr>
          <w:p w:rsidR="00183301" w:rsidRPr="007942B7" w:rsidRDefault="00500367" w:rsidP="00AC4A6F">
            <w:pPr>
              <w:rPr>
                <w:sz w:val="20"/>
                <w:szCs w:val="20"/>
              </w:rPr>
            </w:pPr>
            <w:r>
              <w:rPr>
                <w:sz w:val="20"/>
                <w:szCs w:val="20"/>
              </w:rPr>
              <w:t>La información está organizada</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500367" w:rsidP="00BA14E6">
            <w:pPr>
              <w:rPr>
                <w:sz w:val="20"/>
                <w:szCs w:val="20"/>
              </w:rPr>
            </w:pPr>
            <w:r>
              <w:rPr>
                <w:sz w:val="20"/>
                <w:szCs w:val="20"/>
              </w:rPr>
              <w:t>Revisada de oficio. El formato de la web permite tratamiento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183301" w:rsidP="00183301">
            <w:pPr>
              <w:jc w:val="center"/>
              <w:rPr>
                <w:sz w:val="20"/>
                <w:szCs w:val="20"/>
              </w:rPr>
            </w:pPr>
            <w:r>
              <w:rPr>
                <w:sz w:val="20"/>
                <w:szCs w:val="20"/>
              </w:rPr>
              <w:t>X</w:t>
            </w:r>
          </w:p>
        </w:tc>
        <w:tc>
          <w:tcPr>
            <w:tcW w:w="3203" w:type="dxa"/>
          </w:tcPr>
          <w:p w:rsidR="006D4C90" w:rsidRPr="007942B7" w:rsidRDefault="00500367" w:rsidP="00183301">
            <w:pPr>
              <w:rPr>
                <w:sz w:val="20"/>
                <w:szCs w:val="20"/>
              </w:rPr>
            </w:pPr>
            <w:r>
              <w:rPr>
                <w:sz w:val="20"/>
                <w:szCs w:val="20"/>
              </w:rPr>
              <w:t>Si, al final de cada página del Portal se informa de la fecha de actualización</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947271" w:rsidP="00807495">
            <w:pPr>
              <w:jc w:val="center"/>
              <w:rPr>
                <w:b/>
                <w:sz w:val="20"/>
                <w:szCs w:val="20"/>
              </w:rPr>
            </w:pPr>
            <w:r>
              <w:rPr>
                <w:b/>
                <w:sz w:val="20"/>
                <w:szCs w:val="20"/>
              </w:rPr>
              <w:t>11</w:t>
            </w:r>
          </w:p>
        </w:tc>
        <w:tc>
          <w:tcPr>
            <w:tcW w:w="3203" w:type="dxa"/>
          </w:tcPr>
          <w:p w:rsidR="001C7D84" w:rsidRPr="001C7D84" w:rsidRDefault="001C7D84" w:rsidP="00AC4A6F">
            <w:pPr>
              <w:rPr>
                <w:b/>
                <w:sz w:val="20"/>
                <w:szCs w:val="20"/>
              </w:rPr>
            </w:pPr>
          </w:p>
        </w:tc>
      </w:tr>
    </w:tbl>
    <w:p w:rsidR="003A1694" w:rsidRDefault="003A1694" w:rsidP="00AC4A6F"/>
    <w:p w:rsidR="00FA5AFD" w:rsidRDefault="00FA5AFD" w:rsidP="00AC4A6F"/>
    <w:p w:rsidR="00E17DF6" w:rsidRDefault="00500367" w:rsidP="00AC4A6F">
      <w:r>
        <w:t>El CGATE ha aplicado el 100% de las recomendaciones efectuadas por el CTBG.</w:t>
      </w:r>
    </w:p>
    <w:p w:rsidR="00E17DF6" w:rsidRDefault="00E17DF6" w:rsidP="00AC4A6F"/>
    <w:p w:rsidR="00E17DF6" w:rsidRDefault="00E17DF6" w:rsidP="00AC4A6F"/>
    <w:p w:rsidR="003F6EDC" w:rsidRPr="002D27E4" w:rsidRDefault="002D27E4" w:rsidP="00500367">
      <w:p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4DE5D8CA" wp14:editId="05BA936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00367" w:rsidRPr="00F31BC3" w:rsidRDefault="00500367"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v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w/urw8C&#10;AAAJBAAADgAAAAAAAAAAAAAAAAAuAgAAZHJzL2Uyb0RvYy54bWxQSwECLQAUAAYACAAAACEA4yMs&#10;qN0AAAAJAQAADwAAAAAAAAAAAAAAAABpBAAAZHJzL2Rvd25yZXYueG1sUEsFBgAAAAAEAAQA8wAA&#10;AHMFAAAAAA==&#10;" fillcolor="#50866c" stroked="f">
                <v:textbox inset=",7.2pt,,7.2pt">
                  <w:txbxContent>
                    <w:p w:rsidR="00C02953" w:rsidRPr="00F31BC3" w:rsidRDefault="00C0295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E95C3F" w:rsidRPr="006D4C90" w:rsidTr="00CC48E8">
        <w:trPr>
          <w:trHeight w:val="315"/>
        </w:trPr>
        <w:tc>
          <w:tcPr>
            <w:tcW w:w="2151" w:type="pct"/>
            <w:tcBorders>
              <w:left w:val="nil"/>
              <w:bottom w:val="nil"/>
              <w:right w:val="nil"/>
            </w:tcBorders>
            <w:shd w:val="clear" w:color="auto" w:fill="F5FDFA"/>
            <w:noWrap/>
            <w:hideMark/>
          </w:tcPr>
          <w:p w:rsidR="00E95C3F" w:rsidRPr="006D4C90" w:rsidRDefault="00E95C3F"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w:t>
            </w:r>
          </w:p>
        </w:tc>
        <w:tc>
          <w:tcPr>
            <w:tcW w:w="398" w:type="pct"/>
            <w:tcBorders>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w:t>
            </w:r>
          </w:p>
        </w:tc>
        <w:tc>
          <w:tcPr>
            <w:tcW w:w="458" w:type="pct"/>
            <w:tcBorders>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w:t>
            </w:r>
          </w:p>
        </w:tc>
        <w:tc>
          <w:tcPr>
            <w:tcW w:w="292" w:type="pct"/>
            <w:tcBorders>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w:t>
            </w:r>
          </w:p>
        </w:tc>
        <w:tc>
          <w:tcPr>
            <w:tcW w:w="292" w:type="pct"/>
            <w:tcBorders>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w:t>
            </w:r>
          </w:p>
        </w:tc>
        <w:tc>
          <w:tcPr>
            <w:tcW w:w="292" w:type="pct"/>
            <w:tcBorders>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w:t>
            </w:r>
          </w:p>
        </w:tc>
        <w:tc>
          <w:tcPr>
            <w:tcW w:w="298" w:type="pct"/>
            <w:tcBorders>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w:t>
            </w:r>
          </w:p>
        </w:tc>
        <w:tc>
          <w:tcPr>
            <w:tcW w:w="354" w:type="pct"/>
            <w:tcBorders>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w:t>
            </w:r>
          </w:p>
        </w:tc>
      </w:tr>
      <w:tr w:rsidR="00E95C3F" w:rsidRPr="006D4C90" w:rsidTr="00FA5AFD">
        <w:trPr>
          <w:trHeight w:val="315"/>
        </w:trPr>
        <w:tc>
          <w:tcPr>
            <w:tcW w:w="2151" w:type="pct"/>
            <w:tcBorders>
              <w:top w:val="nil"/>
              <w:left w:val="nil"/>
              <w:bottom w:val="nil"/>
              <w:right w:val="nil"/>
            </w:tcBorders>
            <w:shd w:val="clear" w:color="auto" w:fill="F5FDFA"/>
            <w:noWrap/>
            <w:hideMark/>
          </w:tcPr>
          <w:p w:rsidR="00E95C3F" w:rsidRPr="006D4C90" w:rsidRDefault="00E95C3F"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w:t>
            </w:r>
          </w:p>
        </w:tc>
        <w:tc>
          <w:tcPr>
            <w:tcW w:w="398"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w:t>
            </w:r>
          </w:p>
        </w:tc>
        <w:tc>
          <w:tcPr>
            <w:tcW w:w="458"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w:t>
            </w:r>
          </w:p>
        </w:tc>
        <w:tc>
          <w:tcPr>
            <w:tcW w:w="292"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w:t>
            </w:r>
          </w:p>
        </w:tc>
        <w:tc>
          <w:tcPr>
            <w:tcW w:w="292"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w:t>
            </w:r>
          </w:p>
        </w:tc>
        <w:tc>
          <w:tcPr>
            <w:tcW w:w="292"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w:t>
            </w:r>
          </w:p>
        </w:tc>
        <w:tc>
          <w:tcPr>
            <w:tcW w:w="298"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w:t>
            </w:r>
          </w:p>
        </w:tc>
        <w:tc>
          <w:tcPr>
            <w:tcW w:w="354"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w:t>
            </w:r>
          </w:p>
        </w:tc>
      </w:tr>
      <w:tr w:rsidR="006D4C90" w:rsidRPr="006D4C90" w:rsidTr="00E17DF6">
        <w:trPr>
          <w:trHeight w:val="315"/>
        </w:trPr>
        <w:tc>
          <w:tcPr>
            <w:tcW w:w="2151" w:type="pct"/>
            <w:tcBorders>
              <w:top w:val="nil"/>
              <w:left w:val="nil"/>
              <w:bottom w:val="nil"/>
              <w:right w:val="nil"/>
            </w:tcBorders>
            <w:shd w:val="clear" w:color="auto" w:fill="65AD82"/>
            <w:noWrap/>
            <w:hideMark/>
          </w:tcPr>
          <w:p w:rsidR="006D4C90" w:rsidRPr="006D4C90" w:rsidRDefault="006D4C90"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6D4C90" w:rsidRPr="006D4C90" w:rsidRDefault="006D4C90" w:rsidP="008A5AAE">
            <w:pPr>
              <w:jc w:val="right"/>
              <w:rPr>
                <w:b/>
                <w:color w:val="FFFFFF" w:themeColor="background1"/>
                <w:sz w:val="18"/>
                <w:szCs w:val="18"/>
              </w:rPr>
            </w:pPr>
          </w:p>
        </w:tc>
        <w:tc>
          <w:tcPr>
            <w:tcW w:w="398" w:type="pct"/>
            <w:tcBorders>
              <w:top w:val="nil"/>
              <w:left w:val="nil"/>
              <w:bottom w:val="nil"/>
              <w:right w:val="nil"/>
            </w:tcBorders>
            <w:shd w:val="clear" w:color="auto" w:fill="65AD82"/>
            <w:noWrap/>
          </w:tcPr>
          <w:p w:rsidR="006D4C90" w:rsidRPr="006D4C90" w:rsidRDefault="006D4C90" w:rsidP="008A5AAE">
            <w:pPr>
              <w:jc w:val="right"/>
              <w:rPr>
                <w:b/>
                <w:color w:val="FFFFFF" w:themeColor="background1"/>
                <w:sz w:val="18"/>
                <w:szCs w:val="18"/>
              </w:rPr>
            </w:pPr>
          </w:p>
        </w:tc>
        <w:tc>
          <w:tcPr>
            <w:tcW w:w="458" w:type="pct"/>
            <w:tcBorders>
              <w:top w:val="nil"/>
              <w:left w:val="nil"/>
              <w:bottom w:val="nil"/>
              <w:right w:val="nil"/>
            </w:tcBorders>
            <w:shd w:val="clear" w:color="auto" w:fill="65AD82"/>
            <w:noWrap/>
          </w:tcPr>
          <w:p w:rsidR="006D4C90" w:rsidRPr="006D4C90" w:rsidRDefault="006D4C90" w:rsidP="008A5AAE">
            <w:pPr>
              <w:jc w:val="right"/>
              <w:rPr>
                <w:b/>
                <w:color w:val="FFFFFF" w:themeColor="background1"/>
                <w:sz w:val="18"/>
                <w:szCs w:val="18"/>
              </w:rPr>
            </w:pPr>
          </w:p>
        </w:tc>
        <w:tc>
          <w:tcPr>
            <w:tcW w:w="292" w:type="pct"/>
            <w:tcBorders>
              <w:top w:val="nil"/>
              <w:left w:val="nil"/>
              <w:bottom w:val="nil"/>
              <w:right w:val="nil"/>
            </w:tcBorders>
            <w:shd w:val="clear" w:color="auto" w:fill="65AD82"/>
            <w:noWrap/>
          </w:tcPr>
          <w:p w:rsidR="006D4C90" w:rsidRPr="006D4C90" w:rsidRDefault="006D4C90" w:rsidP="008A5AAE">
            <w:pPr>
              <w:jc w:val="right"/>
              <w:rPr>
                <w:b/>
                <w:color w:val="FFFFFF" w:themeColor="background1"/>
                <w:sz w:val="18"/>
                <w:szCs w:val="18"/>
              </w:rPr>
            </w:pPr>
          </w:p>
        </w:tc>
        <w:tc>
          <w:tcPr>
            <w:tcW w:w="292" w:type="pct"/>
            <w:tcBorders>
              <w:top w:val="nil"/>
              <w:left w:val="nil"/>
              <w:bottom w:val="nil"/>
              <w:right w:val="nil"/>
            </w:tcBorders>
            <w:shd w:val="clear" w:color="auto" w:fill="65AD82"/>
            <w:noWrap/>
          </w:tcPr>
          <w:p w:rsidR="006D4C90" w:rsidRPr="006D4C90" w:rsidRDefault="006D4C90" w:rsidP="008A5AAE">
            <w:pPr>
              <w:jc w:val="right"/>
              <w:rPr>
                <w:b/>
                <w:color w:val="FFFFFF" w:themeColor="background1"/>
                <w:sz w:val="18"/>
                <w:szCs w:val="18"/>
              </w:rPr>
            </w:pPr>
          </w:p>
        </w:tc>
        <w:tc>
          <w:tcPr>
            <w:tcW w:w="292" w:type="pct"/>
            <w:tcBorders>
              <w:top w:val="nil"/>
              <w:left w:val="nil"/>
              <w:bottom w:val="nil"/>
              <w:right w:val="nil"/>
            </w:tcBorders>
            <w:shd w:val="clear" w:color="auto" w:fill="65AD82"/>
            <w:noWrap/>
          </w:tcPr>
          <w:p w:rsidR="006D4C90" w:rsidRPr="006D4C90" w:rsidRDefault="006D4C90" w:rsidP="008A5AAE">
            <w:pPr>
              <w:jc w:val="right"/>
              <w:rPr>
                <w:b/>
                <w:color w:val="FFFFFF" w:themeColor="background1"/>
                <w:sz w:val="18"/>
                <w:szCs w:val="18"/>
              </w:rPr>
            </w:pPr>
          </w:p>
        </w:tc>
        <w:tc>
          <w:tcPr>
            <w:tcW w:w="298" w:type="pct"/>
            <w:tcBorders>
              <w:top w:val="nil"/>
              <w:left w:val="nil"/>
              <w:bottom w:val="nil"/>
              <w:right w:val="nil"/>
            </w:tcBorders>
            <w:shd w:val="clear" w:color="auto" w:fill="65AD82"/>
            <w:noWrap/>
          </w:tcPr>
          <w:p w:rsidR="006D4C90" w:rsidRPr="006D4C90" w:rsidRDefault="006D4C90" w:rsidP="008A5AAE">
            <w:pPr>
              <w:jc w:val="right"/>
              <w:rPr>
                <w:b/>
                <w:color w:val="FFFFFF" w:themeColor="background1"/>
                <w:sz w:val="18"/>
                <w:szCs w:val="18"/>
              </w:rPr>
            </w:pPr>
          </w:p>
        </w:tc>
        <w:tc>
          <w:tcPr>
            <w:tcW w:w="354" w:type="pct"/>
            <w:tcBorders>
              <w:top w:val="nil"/>
              <w:left w:val="nil"/>
              <w:bottom w:val="nil"/>
              <w:right w:val="nil"/>
            </w:tcBorders>
            <w:shd w:val="clear" w:color="auto" w:fill="65AD82"/>
            <w:noWrap/>
          </w:tcPr>
          <w:p w:rsidR="006D4C90" w:rsidRPr="006D4C90" w:rsidRDefault="00E95C3F" w:rsidP="008A5AAE">
            <w:pPr>
              <w:jc w:val="right"/>
              <w:rPr>
                <w:b/>
                <w:color w:val="FFFFFF" w:themeColor="background1"/>
                <w:sz w:val="18"/>
                <w:szCs w:val="18"/>
              </w:rPr>
            </w:pPr>
            <w:r>
              <w:rPr>
                <w:b/>
                <w:color w:val="FFFFFF" w:themeColor="background1"/>
                <w:sz w:val="18"/>
                <w:szCs w:val="18"/>
              </w:rPr>
              <w:t>100</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E95C3F" w:rsidRPr="006D4C90" w:rsidTr="00FA5AFD">
        <w:trPr>
          <w:trHeight w:val="315"/>
        </w:trPr>
        <w:tc>
          <w:tcPr>
            <w:tcW w:w="2151" w:type="pct"/>
            <w:tcBorders>
              <w:top w:val="nil"/>
              <w:left w:val="nil"/>
              <w:bottom w:val="nil"/>
              <w:right w:val="nil"/>
            </w:tcBorders>
            <w:shd w:val="clear" w:color="auto" w:fill="F5FDFA"/>
            <w:noWrap/>
            <w:hideMark/>
          </w:tcPr>
          <w:p w:rsidR="00E95C3F" w:rsidRPr="006D4C90" w:rsidRDefault="00E95C3F"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465"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71,4</w:t>
            </w:r>
          </w:p>
        </w:tc>
        <w:tc>
          <w:tcPr>
            <w:tcW w:w="398"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100,0</w:t>
            </w:r>
          </w:p>
        </w:tc>
        <w:tc>
          <w:tcPr>
            <w:tcW w:w="458"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100,0</w:t>
            </w:r>
          </w:p>
        </w:tc>
        <w:tc>
          <w:tcPr>
            <w:tcW w:w="292"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100,0</w:t>
            </w:r>
          </w:p>
        </w:tc>
        <w:tc>
          <w:tcPr>
            <w:tcW w:w="292"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100,0</w:t>
            </w:r>
          </w:p>
        </w:tc>
        <w:tc>
          <w:tcPr>
            <w:tcW w:w="292"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100,0</w:t>
            </w:r>
          </w:p>
        </w:tc>
        <w:tc>
          <w:tcPr>
            <w:tcW w:w="298"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100,0</w:t>
            </w:r>
          </w:p>
        </w:tc>
        <w:tc>
          <w:tcPr>
            <w:tcW w:w="354"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95,9</w:t>
            </w:r>
          </w:p>
        </w:tc>
      </w:tr>
      <w:tr w:rsidR="00E95C3F" w:rsidRPr="006D4C90" w:rsidTr="00FA5AFD">
        <w:trPr>
          <w:trHeight w:val="315"/>
        </w:trPr>
        <w:tc>
          <w:tcPr>
            <w:tcW w:w="2151" w:type="pct"/>
            <w:tcBorders>
              <w:top w:val="nil"/>
              <w:left w:val="nil"/>
              <w:bottom w:val="nil"/>
              <w:right w:val="nil"/>
            </w:tcBorders>
            <w:shd w:val="clear" w:color="auto" w:fill="F5FDFA"/>
            <w:noWrap/>
            <w:hideMark/>
          </w:tcPr>
          <w:p w:rsidR="00E95C3F" w:rsidRPr="006D4C90" w:rsidRDefault="00E95C3F"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100,0</w:t>
            </w:r>
          </w:p>
        </w:tc>
        <w:tc>
          <w:tcPr>
            <w:tcW w:w="398"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100,0</w:t>
            </w:r>
          </w:p>
        </w:tc>
        <w:tc>
          <w:tcPr>
            <w:tcW w:w="458"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100,0</w:t>
            </w:r>
          </w:p>
        </w:tc>
        <w:tc>
          <w:tcPr>
            <w:tcW w:w="292"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100,0</w:t>
            </w:r>
          </w:p>
        </w:tc>
        <w:tc>
          <w:tcPr>
            <w:tcW w:w="292"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100,0</w:t>
            </w:r>
          </w:p>
        </w:tc>
        <w:tc>
          <w:tcPr>
            <w:tcW w:w="292"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100,0</w:t>
            </w:r>
          </w:p>
        </w:tc>
        <w:tc>
          <w:tcPr>
            <w:tcW w:w="298"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100,0</w:t>
            </w:r>
          </w:p>
        </w:tc>
        <w:tc>
          <w:tcPr>
            <w:tcW w:w="354" w:type="pct"/>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100,0</w:t>
            </w:r>
          </w:p>
        </w:tc>
      </w:tr>
      <w:tr w:rsidR="00E95C3F" w:rsidRPr="006D4C90" w:rsidTr="00E95C3F">
        <w:trPr>
          <w:trHeight w:val="315"/>
        </w:trPr>
        <w:tc>
          <w:tcPr>
            <w:tcW w:w="2151" w:type="pct"/>
            <w:tcBorders>
              <w:top w:val="nil"/>
              <w:left w:val="nil"/>
              <w:bottom w:val="nil"/>
              <w:right w:val="nil"/>
            </w:tcBorders>
            <w:shd w:val="clear" w:color="auto" w:fill="F5FDFA"/>
            <w:noWrap/>
          </w:tcPr>
          <w:p w:rsidR="00E95C3F" w:rsidRPr="006D4C90" w:rsidRDefault="00E95C3F" w:rsidP="00CC48E8">
            <w:pPr>
              <w:rPr>
                <w:rFonts w:eastAsia="Times New Roman" w:cs="Arial"/>
                <w:sz w:val="18"/>
                <w:szCs w:val="18"/>
                <w:lang w:eastAsia="es-ES"/>
              </w:rPr>
            </w:pPr>
            <w:r w:rsidRPr="00E95C3F">
              <w:rPr>
                <w:rFonts w:eastAsia="Times New Roman" w:cs="Arial"/>
                <w:sz w:val="18"/>
                <w:szCs w:val="18"/>
                <w:lang w:eastAsia="es-ES"/>
              </w:rPr>
              <w:t>Subvenciones</w:t>
            </w:r>
          </w:p>
        </w:tc>
        <w:tc>
          <w:tcPr>
            <w:tcW w:w="2849" w:type="pct"/>
            <w:gridSpan w:val="8"/>
            <w:tcBorders>
              <w:top w:val="nil"/>
              <w:left w:val="nil"/>
              <w:bottom w:val="nil"/>
              <w:right w:val="nil"/>
            </w:tcBorders>
            <w:shd w:val="clear" w:color="auto" w:fill="F5FDFA"/>
            <w:noWrap/>
          </w:tcPr>
          <w:p w:rsidR="00E95C3F" w:rsidRPr="00E95C3F" w:rsidRDefault="00E95C3F" w:rsidP="00E95C3F">
            <w:pPr>
              <w:jc w:val="center"/>
              <w:rPr>
                <w:sz w:val="16"/>
                <w:szCs w:val="16"/>
              </w:rPr>
            </w:pPr>
            <w:r w:rsidRPr="00E95C3F">
              <w:rPr>
                <w:sz w:val="16"/>
                <w:szCs w:val="16"/>
              </w:rPr>
              <w:t>NO APLICABLE</w:t>
            </w:r>
          </w:p>
        </w:tc>
      </w:tr>
      <w:tr w:rsidR="006D4C90" w:rsidRPr="006D4C90" w:rsidTr="00E17DF6">
        <w:trPr>
          <w:trHeight w:val="315"/>
        </w:trPr>
        <w:tc>
          <w:tcPr>
            <w:tcW w:w="2151" w:type="pct"/>
            <w:tcBorders>
              <w:top w:val="nil"/>
              <w:left w:val="nil"/>
              <w:bottom w:val="nil"/>
              <w:right w:val="nil"/>
            </w:tcBorders>
            <w:shd w:val="clear" w:color="auto" w:fill="65AD82"/>
            <w:noWrap/>
            <w:hideMark/>
          </w:tcPr>
          <w:p w:rsidR="006D4C90" w:rsidRPr="006D4C90" w:rsidRDefault="006D4C90"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6D4C90" w:rsidRPr="006D4C90" w:rsidRDefault="006D4C90" w:rsidP="008A5AAE">
            <w:pPr>
              <w:jc w:val="right"/>
              <w:rPr>
                <w:b/>
                <w:color w:val="FFFFFF" w:themeColor="background1"/>
                <w:sz w:val="18"/>
                <w:szCs w:val="18"/>
              </w:rPr>
            </w:pPr>
          </w:p>
        </w:tc>
        <w:tc>
          <w:tcPr>
            <w:tcW w:w="398" w:type="pct"/>
            <w:tcBorders>
              <w:top w:val="nil"/>
              <w:left w:val="nil"/>
              <w:bottom w:val="nil"/>
              <w:right w:val="nil"/>
            </w:tcBorders>
            <w:shd w:val="clear" w:color="auto" w:fill="65AD82"/>
            <w:noWrap/>
          </w:tcPr>
          <w:p w:rsidR="006D4C90" w:rsidRPr="006D4C90" w:rsidRDefault="006D4C90" w:rsidP="008A5AAE">
            <w:pPr>
              <w:jc w:val="right"/>
              <w:rPr>
                <w:b/>
                <w:color w:val="FFFFFF" w:themeColor="background1"/>
                <w:sz w:val="18"/>
                <w:szCs w:val="18"/>
              </w:rPr>
            </w:pPr>
          </w:p>
        </w:tc>
        <w:tc>
          <w:tcPr>
            <w:tcW w:w="458" w:type="pct"/>
            <w:tcBorders>
              <w:top w:val="nil"/>
              <w:left w:val="nil"/>
              <w:bottom w:val="nil"/>
              <w:right w:val="nil"/>
            </w:tcBorders>
            <w:shd w:val="clear" w:color="auto" w:fill="65AD82"/>
            <w:noWrap/>
          </w:tcPr>
          <w:p w:rsidR="006D4C90" w:rsidRPr="006D4C90" w:rsidRDefault="006D4C90" w:rsidP="008A5AAE">
            <w:pPr>
              <w:jc w:val="right"/>
              <w:rPr>
                <w:b/>
                <w:color w:val="FFFFFF" w:themeColor="background1"/>
                <w:sz w:val="18"/>
                <w:szCs w:val="18"/>
              </w:rPr>
            </w:pPr>
          </w:p>
        </w:tc>
        <w:tc>
          <w:tcPr>
            <w:tcW w:w="292" w:type="pct"/>
            <w:tcBorders>
              <w:top w:val="nil"/>
              <w:left w:val="nil"/>
              <w:bottom w:val="nil"/>
              <w:right w:val="nil"/>
            </w:tcBorders>
            <w:shd w:val="clear" w:color="auto" w:fill="65AD82"/>
            <w:noWrap/>
          </w:tcPr>
          <w:p w:rsidR="006D4C90" w:rsidRPr="006D4C90" w:rsidRDefault="006D4C90" w:rsidP="008A5AAE">
            <w:pPr>
              <w:jc w:val="right"/>
              <w:rPr>
                <w:b/>
                <w:color w:val="FFFFFF" w:themeColor="background1"/>
                <w:sz w:val="18"/>
                <w:szCs w:val="18"/>
              </w:rPr>
            </w:pPr>
          </w:p>
        </w:tc>
        <w:tc>
          <w:tcPr>
            <w:tcW w:w="292" w:type="pct"/>
            <w:tcBorders>
              <w:top w:val="nil"/>
              <w:left w:val="nil"/>
              <w:bottom w:val="nil"/>
              <w:right w:val="nil"/>
            </w:tcBorders>
            <w:shd w:val="clear" w:color="auto" w:fill="65AD82"/>
            <w:noWrap/>
          </w:tcPr>
          <w:p w:rsidR="006D4C90" w:rsidRPr="006D4C90" w:rsidRDefault="006D4C90" w:rsidP="008A5AAE">
            <w:pPr>
              <w:jc w:val="right"/>
              <w:rPr>
                <w:b/>
                <w:color w:val="FFFFFF" w:themeColor="background1"/>
                <w:sz w:val="18"/>
                <w:szCs w:val="18"/>
              </w:rPr>
            </w:pPr>
          </w:p>
        </w:tc>
        <w:tc>
          <w:tcPr>
            <w:tcW w:w="292" w:type="pct"/>
            <w:tcBorders>
              <w:top w:val="nil"/>
              <w:left w:val="nil"/>
              <w:bottom w:val="nil"/>
              <w:right w:val="nil"/>
            </w:tcBorders>
            <w:shd w:val="clear" w:color="auto" w:fill="65AD82"/>
            <w:noWrap/>
          </w:tcPr>
          <w:p w:rsidR="006D4C90" w:rsidRPr="006D4C90" w:rsidRDefault="006D4C90" w:rsidP="008A5AAE">
            <w:pPr>
              <w:jc w:val="right"/>
              <w:rPr>
                <w:b/>
                <w:color w:val="FFFFFF" w:themeColor="background1"/>
                <w:sz w:val="18"/>
                <w:szCs w:val="18"/>
              </w:rPr>
            </w:pPr>
          </w:p>
        </w:tc>
        <w:tc>
          <w:tcPr>
            <w:tcW w:w="298" w:type="pct"/>
            <w:tcBorders>
              <w:top w:val="nil"/>
              <w:left w:val="nil"/>
              <w:bottom w:val="nil"/>
              <w:right w:val="nil"/>
            </w:tcBorders>
            <w:shd w:val="clear" w:color="auto" w:fill="65AD82"/>
            <w:noWrap/>
          </w:tcPr>
          <w:p w:rsidR="006D4C90" w:rsidRPr="006D4C90" w:rsidRDefault="006D4C90" w:rsidP="008A5AAE">
            <w:pPr>
              <w:jc w:val="right"/>
              <w:rPr>
                <w:b/>
                <w:color w:val="FFFFFF" w:themeColor="background1"/>
                <w:sz w:val="18"/>
                <w:szCs w:val="18"/>
              </w:rPr>
            </w:pPr>
          </w:p>
        </w:tc>
        <w:tc>
          <w:tcPr>
            <w:tcW w:w="354" w:type="pct"/>
            <w:tcBorders>
              <w:top w:val="nil"/>
              <w:left w:val="nil"/>
              <w:bottom w:val="nil"/>
              <w:right w:val="nil"/>
            </w:tcBorders>
            <w:shd w:val="clear" w:color="auto" w:fill="65AD82"/>
            <w:noWrap/>
          </w:tcPr>
          <w:p w:rsidR="006D4C90" w:rsidRPr="006D4C90" w:rsidRDefault="00E95C3F" w:rsidP="008A5AAE">
            <w:pPr>
              <w:jc w:val="right"/>
              <w:rPr>
                <w:b/>
                <w:color w:val="FFFFFF" w:themeColor="background1"/>
                <w:sz w:val="18"/>
                <w:szCs w:val="18"/>
              </w:rPr>
            </w:pPr>
            <w:r>
              <w:rPr>
                <w:b/>
                <w:color w:val="FFFFFF" w:themeColor="background1"/>
                <w:sz w:val="18"/>
                <w:szCs w:val="18"/>
              </w:rPr>
              <w:t>98,0</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E95C3F" w:rsidP="00BA3611">
            <w:pPr>
              <w:jc w:val="right"/>
              <w:rPr>
                <w:rFonts w:eastAsia="Times New Roman" w:cs="Arial"/>
                <w:b/>
                <w:sz w:val="18"/>
                <w:szCs w:val="18"/>
                <w:lang w:eastAsia="es-ES"/>
              </w:rPr>
            </w:pPr>
            <w:r>
              <w:rPr>
                <w:rFonts w:eastAsia="Times New Roman" w:cs="Arial"/>
                <w:b/>
                <w:sz w:val="18"/>
                <w:szCs w:val="18"/>
                <w:lang w:eastAsia="es-ES"/>
              </w:rPr>
              <w:t>99,5</w:t>
            </w:r>
          </w:p>
        </w:tc>
      </w:tr>
    </w:tbl>
    <w:p w:rsidR="00FA5AFD" w:rsidRDefault="00FA5AFD" w:rsidP="00F05E2C">
      <w:pPr>
        <w:pStyle w:val="Cuerpodelboletn"/>
        <w:rPr>
          <w:lang w:bidi="es-ES"/>
        </w:rPr>
      </w:pPr>
    </w:p>
    <w:p w:rsidR="00714C54" w:rsidRDefault="00E95C3F" w:rsidP="00F05E2C">
      <w:pPr>
        <w:pStyle w:val="Cuerpodelboletn"/>
      </w:pPr>
      <w:r>
        <w:t>El Índice de Cumplimiento de la Información Obligatoria (ICIO) alcanza un 99,5%. La diferencia hasta el 100% se explica porque en relación con los contratos no se publican el importe y el procedimiento de licitación.</w:t>
      </w: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E95C3F" w:rsidP="00965C69">
      <w:pPr>
        <w:pStyle w:val="Cuerpodelboletn"/>
      </w:pPr>
      <w:r>
        <w:t xml:space="preserve">Este Consejo no puede menos que valorar muy positivamente el esfuerzo realizado por el CGATE para mejorar el cumplimiento de las obligaciones de publicidad activa. Ha aplicado la totalidad de las recomendaciones efectuadas como consecuencia de la evaluación realizada en 2020 y ha incrementado su ICIO en 67,1 puntos porcentuales, pasando de un cumplimiento del 32,4% a un ICIO del 99,5%. </w:t>
      </w:r>
    </w:p>
    <w:p w:rsidR="00E95C3F" w:rsidRDefault="00E95C3F" w:rsidP="00965C69">
      <w:pPr>
        <w:pStyle w:val="Cuerpodelboletn"/>
        <w:sectPr w:rsidR="00E95C3F"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00367" w:rsidRPr="00F31BC3" w:rsidRDefault="00500367"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Wuvn8OAgAA&#10;CgQAAA4AAAAAAAAAAAAAAAAALgIAAGRycy9lMm9Eb2MueG1sUEsBAi0AFAAGAAgAAAAhACLvoFPc&#10;AAAABwEAAA8AAAAAAAAAAAAAAAAAaAQAAGRycy9kb3ducmV2LnhtbFBLBQYAAAAABAAEAPMAAABx&#10;BQAAAAA=&#10;" fillcolor="#50866c" stroked="f">
                <v:textbox inset=",7.2pt,,7.2pt">
                  <w:txbxContent>
                    <w:p w:rsidR="00C02953" w:rsidRPr="00F31BC3" w:rsidRDefault="00C02953" w:rsidP="002D27E4">
                      <w:r w:rsidRPr="00965C69">
                        <w:rPr>
                          <w:noProof/>
                          <w:lang w:eastAsia="es-ES"/>
                        </w:rPr>
                        <w:drawing>
                          <wp:inline distT="0" distB="0" distL="0" distR="0" wp14:anchorId="090B12A5" wp14:editId="08D6EAC2">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00367" w:rsidRPr="00F31BC3" w:rsidRDefault="00500367"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7EAIAAAo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8q1rsQ&#10;AgAACgQAAA4AAAAAAAAAAAAAAAAALgIAAGRycy9lMm9Eb2MueG1sUEsBAi0AFAAGAAgAAAAhAAQI&#10;aEHdAAAACQEAAA8AAAAAAAAAAAAAAAAAagQAAGRycy9kb3ducmV2LnhtbFBLBQYAAAAABAAEAPMA&#10;AAB0BQAAAAA=&#10;" fillcolor="#50866c" stroked="f">
                    <v:textbox inset=",7.2pt,,7.2pt">
                      <w:txbxContent>
                        <w:p w:rsidR="00C02953" w:rsidRPr="00F31BC3" w:rsidRDefault="00C02953" w:rsidP="002D27E4">
                          <w:r w:rsidRPr="00965C69">
                            <w:rPr>
                              <w:noProof/>
                              <w:lang w:eastAsia="es-ES"/>
                            </w:rPr>
                            <w:drawing>
                              <wp:inline distT="0" distB="0" distL="0" distR="0" wp14:anchorId="730F1CBB" wp14:editId="25CE2A32">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bookmarkStart w:id="1" w:name="_GoBack"/>
            <w:bookmarkEnd w:id="1"/>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367" w:rsidRDefault="00500367" w:rsidP="00F31BC3">
      <w:r>
        <w:separator/>
      </w:r>
    </w:p>
  </w:endnote>
  <w:endnote w:type="continuationSeparator" w:id="0">
    <w:p w:rsidR="00500367" w:rsidRDefault="00500367"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367" w:rsidRDefault="00500367" w:rsidP="00F31BC3">
      <w:r>
        <w:separator/>
      </w:r>
    </w:p>
  </w:footnote>
  <w:footnote w:type="continuationSeparator" w:id="0">
    <w:p w:rsidR="00500367" w:rsidRDefault="00500367"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104DE9"/>
    <w:rsid w:val="00104E94"/>
    <w:rsid w:val="001149B1"/>
    <w:rsid w:val="00132732"/>
    <w:rsid w:val="00146C3C"/>
    <w:rsid w:val="00164876"/>
    <w:rsid w:val="001763F8"/>
    <w:rsid w:val="00183301"/>
    <w:rsid w:val="00187CDD"/>
    <w:rsid w:val="0019448F"/>
    <w:rsid w:val="001A0DA8"/>
    <w:rsid w:val="001A5305"/>
    <w:rsid w:val="001C2217"/>
    <w:rsid w:val="001C3E2F"/>
    <w:rsid w:val="001C4509"/>
    <w:rsid w:val="001C7C78"/>
    <w:rsid w:val="001C7D84"/>
    <w:rsid w:val="001E5AAD"/>
    <w:rsid w:val="0021682B"/>
    <w:rsid w:val="00231D61"/>
    <w:rsid w:val="00243294"/>
    <w:rsid w:val="00244EDA"/>
    <w:rsid w:val="002467FA"/>
    <w:rsid w:val="00263F79"/>
    <w:rsid w:val="002D0702"/>
    <w:rsid w:val="002D27E4"/>
    <w:rsid w:val="002E409F"/>
    <w:rsid w:val="0031769F"/>
    <w:rsid w:val="00347877"/>
    <w:rsid w:val="00355DC0"/>
    <w:rsid w:val="003A1694"/>
    <w:rsid w:val="003A390C"/>
    <w:rsid w:val="003B57E6"/>
    <w:rsid w:val="003B6B96"/>
    <w:rsid w:val="003D2C4A"/>
    <w:rsid w:val="003E564B"/>
    <w:rsid w:val="003E5D2F"/>
    <w:rsid w:val="003F6EDC"/>
    <w:rsid w:val="00415DBD"/>
    <w:rsid w:val="00422B18"/>
    <w:rsid w:val="004720A5"/>
    <w:rsid w:val="0047735C"/>
    <w:rsid w:val="004859CC"/>
    <w:rsid w:val="004A1663"/>
    <w:rsid w:val="004C6440"/>
    <w:rsid w:val="004D50CC"/>
    <w:rsid w:val="004D7037"/>
    <w:rsid w:val="004E7B33"/>
    <w:rsid w:val="00500367"/>
    <w:rsid w:val="00506864"/>
    <w:rsid w:val="005301DF"/>
    <w:rsid w:val="00536832"/>
    <w:rsid w:val="00563295"/>
    <w:rsid w:val="005B1544"/>
    <w:rsid w:val="005C4778"/>
    <w:rsid w:val="005E2505"/>
    <w:rsid w:val="005E6704"/>
    <w:rsid w:val="00603DFC"/>
    <w:rsid w:val="006266A5"/>
    <w:rsid w:val="00633EAA"/>
    <w:rsid w:val="0069673B"/>
    <w:rsid w:val="006B75D8"/>
    <w:rsid w:val="006C0CDD"/>
    <w:rsid w:val="006D49E7"/>
    <w:rsid w:val="006D4C90"/>
    <w:rsid w:val="006E75DE"/>
    <w:rsid w:val="007071A8"/>
    <w:rsid w:val="00707C14"/>
    <w:rsid w:val="00714C54"/>
    <w:rsid w:val="00717272"/>
    <w:rsid w:val="0073626B"/>
    <w:rsid w:val="00751FAA"/>
    <w:rsid w:val="00760E4B"/>
    <w:rsid w:val="0076640C"/>
    <w:rsid w:val="00767C60"/>
    <w:rsid w:val="00777FB3"/>
    <w:rsid w:val="00781700"/>
    <w:rsid w:val="00790143"/>
    <w:rsid w:val="007942B7"/>
    <w:rsid w:val="007954A6"/>
    <w:rsid w:val="007D1701"/>
    <w:rsid w:val="007D5CBF"/>
    <w:rsid w:val="007D69D9"/>
    <w:rsid w:val="007F1D56"/>
    <w:rsid w:val="007F5F9D"/>
    <w:rsid w:val="00803D20"/>
    <w:rsid w:val="00807495"/>
    <w:rsid w:val="00821526"/>
    <w:rsid w:val="0082470D"/>
    <w:rsid w:val="00825ACB"/>
    <w:rsid w:val="00882A5B"/>
    <w:rsid w:val="00891E6F"/>
    <w:rsid w:val="00894358"/>
    <w:rsid w:val="0089455A"/>
    <w:rsid w:val="00897D04"/>
    <w:rsid w:val="008A5AAE"/>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1361E"/>
    <w:rsid w:val="00A24E51"/>
    <w:rsid w:val="00A51AAD"/>
    <w:rsid w:val="00A82709"/>
    <w:rsid w:val="00AA0AE1"/>
    <w:rsid w:val="00AC2723"/>
    <w:rsid w:val="00AC4A6F"/>
    <w:rsid w:val="00AD6065"/>
    <w:rsid w:val="00AE4F68"/>
    <w:rsid w:val="00AE6A4F"/>
    <w:rsid w:val="00AF5151"/>
    <w:rsid w:val="00B1184C"/>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7705"/>
    <w:rsid w:val="00C3228C"/>
    <w:rsid w:val="00C4050E"/>
    <w:rsid w:val="00C4430D"/>
    <w:rsid w:val="00C451D3"/>
    <w:rsid w:val="00C54D21"/>
    <w:rsid w:val="00C555C6"/>
    <w:rsid w:val="00C61E7F"/>
    <w:rsid w:val="00C66E73"/>
    <w:rsid w:val="00C91330"/>
    <w:rsid w:val="00CC48E8"/>
    <w:rsid w:val="00CD3DE8"/>
    <w:rsid w:val="00CF21EB"/>
    <w:rsid w:val="00D014E1"/>
    <w:rsid w:val="00D01CA1"/>
    <w:rsid w:val="00D1453D"/>
    <w:rsid w:val="00D41F4C"/>
    <w:rsid w:val="00D520C8"/>
    <w:rsid w:val="00D70570"/>
    <w:rsid w:val="00D96084"/>
    <w:rsid w:val="00DA6660"/>
    <w:rsid w:val="00DC5B52"/>
    <w:rsid w:val="00DD515F"/>
    <w:rsid w:val="00DF25D7"/>
    <w:rsid w:val="00DF555F"/>
    <w:rsid w:val="00E023B5"/>
    <w:rsid w:val="00E17DF6"/>
    <w:rsid w:val="00E33169"/>
    <w:rsid w:val="00E51AC4"/>
    <w:rsid w:val="00E6528C"/>
    <w:rsid w:val="00E73F4D"/>
    <w:rsid w:val="00E95C3F"/>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787EBD"/>
    <w:rsid w:val="008E118A"/>
    <w:rsid w:val="00AB484A"/>
    <w:rsid w:val="00C32372"/>
    <w:rsid w:val="00D22699"/>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8FA60D-979D-49DC-8E45-861E208A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48</TotalTime>
  <Pages>4</Pages>
  <Words>713</Words>
  <Characters>3924</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4</cp:revision>
  <cp:lastPrinted>2008-09-26T23:14:00Z</cp:lastPrinted>
  <dcterms:created xsi:type="dcterms:W3CDTF">2021-01-21T12:49:00Z</dcterms:created>
  <dcterms:modified xsi:type="dcterms:W3CDTF">2021-06-07T12:27:00Z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