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BB6097" w:rsidRDefault="00BB6097"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3B399C">
                                  <w:rPr>
                                    <w:rFonts w:ascii="Century Gothic" w:hAnsi="Century Gothic"/>
                                    <w:sz w:val="40"/>
                                    <w:szCs w:val="40"/>
                                    <w:lang w:bidi="es-ES"/>
                                  </w:rPr>
                                  <w:t>Consejo Superior de Colegios de Arquitectos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EndPr/>
                      <w:sdtContent>
                        <w:p w:rsidR="006D4C90" w:rsidRDefault="006D4C90"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00C555C6" w:rsidRPr="00C555C6">
                            <w:rPr>
                              <w:rFonts w:ascii="Century Gothic" w:hAnsi="Century Gothic"/>
                              <w:sz w:val="40"/>
                              <w:szCs w:val="40"/>
                              <w:lang w:bidi="es-ES"/>
                            </w:rPr>
                            <w:t xml:space="preserve">del </w:t>
                          </w:r>
                          <w:r w:rsidR="003B399C" w:rsidRPr="003B399C">
                            <w:rPr>
                              <w:rFonts w:ascii="Century Gothic" w:hAnsi="Century Gothic"/>
                              <w:sz w:val="40"/>
                              <w:szCs w:val="40"/>
                              <w:lang w:bidi="es-ES"/>
                            </w:rPr>
                            <w:t>Consejo Superior de Colegios de Arquitectos de España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BB6097" w:rsidRDefault="00BB6097"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C02953" w:rsidRDefault="00C0295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8068E0"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947271" w:rsidP="00183301">
            <w:pPr>
              <w:jc w:val="center"/>
              <w:rPr>
                <w:sz w:val="20"/>
                <w:szCs w:val="20"/>
              </w:rPr>
            </w:pPr>
            <w:r>
              <w:rPr>
                <w:sz w:val="20"/>
                <w:szCs w:val="20"/>
              </w:rPr>
              <w:t>X</w:t>
            </w:r>
          </w:p>
        </w:tc>
        <w:tc>
          <w:tcPr>
            <w:tcW w:w="3203" w:type="dxa"/>
          </w:tcPr>
          <w:p w:rsidR="00183301" w:rsidRPr="007942B7" w:rsidRDefault="008068E0" w:rsidP="007942B7">
            <w:pPr>
              <w:rPr>
                <w:sz w:val="20"/>
                <w:szCs w:val="20"/>
              </w:rPr>
            </w:pPr>
            <w:r>
              <w:rPr>
                <w:sz w:val="20"/>
                <w:szCs w:val="20"/>
              </w:rPr>
              <w:t>Si</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947271" w:rsidP="00183301">
            <w:pPr>
              <w:jc w:val="center"/>
              <w:rPr>
                <w:sz w:val="20"/>
                <w:szCs w:val="20"/>
              </w:rPr>
            </w:pPr>
            <w:r>
              <w:rPr>
                <w:sz w:val="20"/>
                <w:szCs w:val="20"/>
              </w:rPr>
              <w:t>X</w:t>
            </w:r>
          </w:p>
        </w:tc>
        <w:tc>
          <w:tcPr>
            <w:tcW w:w="3203" w:type="dxa"/>
          </w:tcPr>
          <w:p w:rsidR="00183301" w:rsidRPr="007942B7" w:rsidRDefault="008068E0" w:rsidP="00A1361E">
            <w:pPr>
              <w:rPr>
                <w:sz w:val="20"/>
                <w:szCs w:val="20"/>
              </w:rPr>
            </w:pPr>
            <w:r>
              <w:rPr>
                <w:sz w:val="20"/>
                <w:szCs w:val="20"/>
              </w:rPr>
              <w:t>Si</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6D4C90" w:rsidRPr="007942B7" w:rsidTr="00183301">
        <w:tc>
          <w:tcPr>
            <w:tcW w:w="2093" w:type="dxa"/>
            <w:vMerge w:val="restart"/>
            <w:vAlign w:val="center"/>
          </w:tcPr>
          <w:p w:rsidR="006D4C90" w:rsidRPr="00C3228C" w:rsidRDefault="006D4C90" w:rsidP="006D4C90">
            <w:pPr>
              <w:rPr>
                <w:sz w:val="20"/>
                <w:szCs w:val="20"/>
              </w:rPr>
            </w:pPr>
            <w:r w:rsidRPr="00C3228C">
              <w:rPr>
                <w:sz w:val="20"/>
                <w:szCs w:val="20"/>
              </w:rPr>
              <w:t>Publicación de Contenidos</w:t>
            </w:r>
          </w:p>
        </w:tc>
        <w:tc>
          <w:tcPr>
            <w:tcW w:w="4819" w:type="dxa"/>
          </w:tcPr>
          <w:p w:rsidR="006D4C90" w:rsidRDefault="006D4C90" w:rsidP="00C3228C">
            <w:pPr>
              <w:rPr>
                <w:sz w:val="20"/>
                <w:szCs w:val="20"/>
              </w:rPr>
            </w:pPr>
            <w:r>
              <w:rPr>
                <w:sz w:val="20"/>
                <w:szCs w:val="20"/>
              </w:rPr>
              <w:t>Registro de Actividades de Tratamiento</w:t>
            </w:r>
          </w:p>
        </w:tc>
        <w:tc>
          <w:tcPr>
            <w:tcW w:w="567" w:type="dxa"/>
            <w:vAlign w:val="center"/>
          </w:tcPr>
          <w:p w:rsidR="006D4C90" w:rsidRDefault="007D69D9" w:rsidP="00183301">
            <w:pPr>
              <w:jc w:val="center"/>
              <w:rPr>
                <w:sz w:val="20"/>
                <w:szCs w:val="20"/>
              </w:rPr>
            </w:pPr>
            <w:r>
              <w:rPr>
                <w:sz w:val="20"/>
                <w:szCs w:val="20"/>
              </w:rPr>
              <w:t>X</w:t>
            </w:r>
          </w:p>
        </w:tc>
        <w:tc>
          <w:tcPr>
            <w:tcW w:w="3203" w:type="dxa"/>
          </w:tcPr>
          <w:p w:rsidR="006D4C90" w:rsidRPr="007942B7" w:rsidRDefault="008068E0" w:rsidP="00AC4A6F">
            <w:pPr>
              <w:rPr>
                <w:sz w:val="20"/>
                <w:szCs w:val="20"/>
              </w:rPr>
            </w:pPr>
            <w:r>
              <w:rPr>
                <w:sz w:val="20"/>
                <w:szCs w:val="20"/>
              </w:rPr>
              <w:t>Si</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947271" w:rsidP="00AC4A6F">
            <w:pPr>
              <w:rPr>
                <w:sz w:val="20"/>
                <w:szCs w:val="20"/>
              </w:rPr>
            </w:pPr>
            <w:r>
              <w:rPr>
                <w:sz w:val="20"/>
                <w:szCs w:val="20"/>
              </w:rPr>
              <w:t>Descripción de la estructura organizativa</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8068E0" w:rsidP="00AC4A6F">
            <w:pPr>
              <w:rPr>
                <w:sz w:val="20"/>
                <w:szCs w:val="20"/>
              </w:rPr>
            </w:pPr>
            <w:r>
              <w:rPr>
                <w:sz w:val="20"/>
                <w:szCs w:val="20"/>
              </w:rPr>
              <w:t xml:space="preserve">Si </w:t>
            </w:r>
          </w:p>
        </w:tc>
      </w:tr>
      <w:tr w:rsidR="00947271" w:rsidRPr="007942B7" w:rsidTr="00183301">
        <w:tc>
          <w:tcPr>
            <w:tcW w:w="2093" w:type="dxa"/>
            <w:vMerge/>
          </w:tcPr>
          <w:p w:rsidR="00947271" w:rsidRPr="007942B7" w:rsidRDefault="00947271" w:rsidP="00AC4A6F">
            <w:pPr>
              <w:rPr>
                <w:sz w:val="20"/>
                <w:szCs w:val="20"/>
              </w:rPr>
            </w:pPr>
          </w:p>
        </w:tc>
        <w:tc>
          <w:tcPr>
            <w:tcW w:w="4819" w:type="dxa"/>
          </w:tcPr>
          <w:p w:rsidR="00947271" w:rsidRDefault="00947271" w:rsidP="00C3228C">
            <w:pPr>
              <w:rPr>
                <w:sz w:val="20"/>
                <w:szCs w:val="20"/>
              </w:rPr>
            </w:pPr>
            <w:r>
              <w:rPr>
                <w:sz w:val="20"/>
                <w:szCs w:val="20"/>
              </w:rPr>
              <w:t>Perfil y trayectoria profesional de los máximos responsables</w:t>
            </w:r>
          </w:p>
        </w:tc>
        <w:tc>
          <w:tcPr>
            <w:tcW w:w="567" w:type="dxa"/>
            <w:vAlign w:val="center"/>
          </w:tcPr>
          <w:p w:rsidR="00947271" w:rsidRPr="00183301" w:rsidRDefault="00947271" w:rsidP="00183301">
            <w:pPr>
              <w:jc w:val="center"/>
              <w:rPr>
                <w:sz w:val="20"/>
                <w:szCs w:val="20"/>
              </w:rPr>
            </w:pPr>
            <w:r>
              <w:rPr>
                <w:sz w:val="20"/>
                <w:szCs w:val="20"/>
              </w:rPr>
              <w:t>X</w:t>
            </w:r>
          </w:p>
        </w:tc>
        <w:tc>
          <w:tcPr>
            <w:tcW w:w="3203" w:type="dxa"/>
          </w:tcPr>
          <w:p w:rsidR="00947271" w:rsidRDefault="00BB6097" w:rsidP="00AC4A6F">
            <w:pPr>
              <w:rPr>
                <w:sz w:val="20"/>
                <w:szCs w:val="20"/>
              </w:rPr>
            </w:pPr>
            <w:proofErr w:type="spellStart"/>
            <w:r>
              <w:rPr>
                <w:sz w:val="20"/>
                <w:szCs w:val="20"/>
              </w:rPr>
              <w:t>Si</w:t>
            </w:r>
            <w:proofErr w:type="spellEnd"/>
            <w:r>
              <w:rPr>
                <w:sz w:val="20"/>
                <w:szCs w:val="20"/>
              </w:rPr>
              <w:t>, pero se localiza fuera del Portal de Transparencia</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Default="00183301" w:rsidP="00C3228C">
            <w:pPr>
              <w:rPr>
                <w:sz w:val="20"/>
                <w:szCs w:val="20"/>
              </w:rPr>
            </w:pPr>
            <w:r>
              <w:rPr>
                <w:sz w:val="20"/>
                <w:szCs w:val="20"/>
              </w:rPr>
              <w:t>Contratos sujetos a derecho administrativo</w:t>
            </w:r>
          </w:p>
        </w:tc>
        <w:tc>
          <w:tcPr>
            <w:tcW w:w="567" w:type="dxa"/>
            <w:vAlign w:val="center"/>
          </w:tcPr>
          <w:p w:rsidR="00183301" w:rsidRPr="00183301" w:rsidRDefault="00183301" w:rsidP="00183301">
            <w:pPr>
              <w:jc w:val="center"/>
              <w:rPr>
                <w:sz w:val="20"/>
                <w:szCs w:val="20"/>
              </w:rPr>
            </w:pPr>
            <w:r w:rsidRPr="00183301">
              <w:rPr>
                <w:sz w:val="20"/>
                <w:szCs w:val="20"/>
              </w:rPr>
              <w:t>X</w:t>
            </w:r>
          </w:p>
        </w:tc>
        <w:tc>
          <w:tcPr>
            <w:tcW w:w="3203" w:type="dxa"/>
          </w:tcPr>
          <w:p w:rsidR="00183301"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Default="00183301" w:rsidP="00AC4A6F">
            <w:pPr>
              <w:rPr>
                <w:sz w:val="20"/>
                <w:szCs w:val="20"/>
              </w:rPr>
            </w:pPr>
            <w:r>
              <w:rPr>
                <w:sz w:val="20"/>
                <w:szCs w:val="20"/>
              </w:rPr>
              <w:t>Subvenciones percibidas</w:t>
            </w:r>
          </w:p>
        </w:tc>
        <w:tc>
          <w:tcPr>
            <w:tcW w:w="567" w:type="dxa"/>
            <w:vAlign w:val="center"/>
          </w:tcPr>
          <w:p w:rsidR="00183301" w:rsidRPr="00183301" w:rsidRDefault="00183301" w:rsidP="00183301">
            <w:pPr>
              <w:jc w:val="center"/>
              <w:rPr>
                <w:sz w:val="20"/>
                <w:szCs w:val="20"/>
              </w:rPr>
            </w:pPr>
            <w:r w:rsidRPr="00183301">
              <w:rPr>
                <w:sz w:val="20"/>
                <w:szCs w:val="20"/>
              </w:rPr>
              <w:t>X</w:t>
            </w:r>
          </w:p>
        </w:tc>
        <w:tc>
          <w:tcPr>
            <w:tcW w:w="3203" w:type="dxa"/>
          </w:tcPr>
          <w:p w:rsidR="00183301" w:rsidRPr="007942B7" w:rsidRDefault="00183301" w:rsidP="00C3228C">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Default="00183301" w:rsidP="00AC4A6F">
            <w:pPr>
              <w:rPr>
                <w:sz w:val="20"/>
                <w:szCs w:val="20"/>
              </w:rPr>
            </w:pPr>
            <w:r>
              <w:rPr>
                <w:sz w:val="20"/>
                <w:szCs w:val="20"/>
              </w:rPr>
              <w:t>Convenios</w:t>
            </w:r>
          </w:p>
        </w:tc>
        <w:tc>
          <w:tcPr>
            <w:tcW w:w="567" w:type="dxa"/>
            <w:vAlign w:val="center"/>
          </w:tcPr>
          <w:p w:rsidR="00183301" w:rsidRPr="00183301" w:rsidRDefault="00183301" w:rsidP="00183301">
            <w:pPr>
              <w:jc w:val="center"/>
              <w:rPr>
                <w:sz w:val="20"/>
                <w:szCs w:val="20"/>
              </w:rPr>
            </w:pPr>
            <w:r w:rsidRPr="00183301">
              <w:rPr>
                <w:sz w:val="20"/>
                <w:szCs w:val="20"/>
              </w:rPr>
              <w:t>X</w:t>
            </w:r>
          </w:p>
        </w:tc>
        <w:tc>
          <w:tcPr>
            <w:tcW w:w="3203" w:type="dxa"/>
          </w:tcPr>
          <w:p w:rsidR="00183301" w:rsidRDefault="006D712A" w:rsidP="00AC4A6F">
            <w:pPr>
              <w:rPr>
                <w:sz w:val="20"/>
                <w:szCs w:val="20"/>
              </w:rPr>
            </w:pPr>
            <w:r>
              <w:rPr>
                <w:sz w:val="20"/>
                <w:szCs w:val="20"/>
              </w:rPr>
              <w:t>Si</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947271" w:rsidP="00183301">
            <w:pPr>
              <w:jc w:val="center"/>
              <w:rPr>
                <w:sz w:val="20"/>
                <w:szCs w:val="20"/>
              </w:rPr>
            </w:pPr>
            <w:r>
              <w:rPr>
                <w:sz w:val="20"/>
                <w:szCs w:val="20"/>
              </w:rPr>
              <w:t>X</w:t>
            </w: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BB6097"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BB6097"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947271" w:rsidP="00807495">
            <w:pPr>
              <w:jc w:val="center"/>
              <w:rPr>
                <w:b/>
                <w:sz w:val="20"/>
                <w:szCs w:val="20"/>
              </w:rPr>
            </w:pPr>
            <w:r>
              <w:rPr>
                <w:b/>
                <w:sz w:val="20"/>
                <w:szCs w:val="20"/>
              </w:rPr>
              <w:t>11</w:t>
            </w:r>
          </w:p>
        </w:tc>
        <w:tc>
          <w:tcPr>
            <w:tcW w:w="3203" w:type="dxa"/>
          </w:tcPr>
          <w:p w:rsidR="001C7D84" w:rsidRPr="001C7D84" w:rsidRDefault="001C7D84" w:rsidP="00AC4A6F">
            <w:pPr>
              <w:rPr>
                <w:b/>
                <w:sz w:val="20"/>
                <w:szCs w:val="20"/>
              </w:rPr>
            </w:pPr>
          </w:p>
        </w:tc>
      </w:tr>
    </w:tbl>
    <w:p w:rsidR="003A1694" w:rsidRDefault="003A1694" w:rsidP="00AC4A6F"/>
    <w:p w:rsidR="00FA5AFD" w:rsidRDefault="00FA5AFD" w:rsidP="00AC4A6F"/>
    <w:p w:rsidR="00BB6097" w:rsidRDefault="00BB6097" w:rsidP="00AC4A6F">
      <w:r>
        <w:t>El CGCAE ha aplicado el 90,9% de las recomendaciones derivadas de la evaluación realizada en 2020. Es especialmente destacable la creación de un Portal de Transparencia.</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B6097" w:rsidRPr="00F31BC3" w:rsidRDefault="00BB6097"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v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w/urw8C&#10;AAAJBAAADgAAAAAAAAAAAAAAAAAuAgAAZHJzL2Uyb0RvYy54bWxQSwECLQAUAAYACAAAACEA4yMs&#10;qN0AAAAJAQAADwAAAAAAAAAAAAAAAABpBAAAZHJzL2Rvd25yZXYueG1sUEsFBgAAAAAEAAQA8wAA&#10;AHMFAAAAAA==&#10;" fillcolor="#50866c" stroked="f">
                <v:textbox inset=",7.2pt,,7.2pt">
                  <w:txbxContent>
                    <w:p w:rsidR="00C02953" w:rsidRPr="00F31BC3" w:rsidRDefault="00C0295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8068E0"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BB6097" w:rsidTr="00BB6097">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BB6097" w:rsidRDefault="00FA5AFD" w:rsidP="00BB6097">
            <w:pPr>
              <w:jc w:val="center"/>
              <w:rPr>
                <w:rFonts w:eastAsia="Times New Roman" w:cs="Arial"/>
                <w:b/>
                <w:bCs/>
                <w:color w:val="FFFFFF"/>
                <w:sz w:val="16"/>
                <w:szCs w:val="16"/>
                <w:lang w:eastAsia="es-ES"/>
              </w:rPr>
            </w:pP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BB6097" w:rsidRDefault="00FA5AFD" w:rsidP="00BB6097">
            <w:pPr>
              <w:jc w:val="center"/>
              <w:rPr>
                <w:rFonts w:eastAsia="Times New Roman" w:cs="Arial"/>
                <w:b/>
                <w:bCs/>
                <w:color w:val="FFFFFF"/>
                <w:sz w:val="16"/>
                <w:szCs w:val="16"/>
                <w:lang w:eastAsia="es-ES"/>
              </w:rPr>
            </w:pPr>
            <w:r w:rsidRPr="00BB6097">
              <w:rPr>
                <w:rFonts w:eastAsia="Times New Roman" w:cs="Arial"/>
                <w:b/>
                <w:bCs/>
                <w:color w:val="FFFFFF"/>
                <w:sz w:val="16"/>
                <w:szCs w:val="16"/>
                <w:lang w:eastAsia="es-ES"/>
              </w:rPr>
              <w:t>CONTENIDO</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BB6097" w:rsidRDefault="00FA5AFD" w:rsidP="00BB6097">
            <w:pPr>
              <w:jc w:val="center"/>
              <w:rPr>
                <w:rFonts w:eastAsia="Times New Roman" w:cs="Arial"/>
                <w:b/>
                <w:bCs/>
                <w:color w:val="FFFFFF"/>
                <w:sz w:val="16"/>
                <w:szCs w:val="16"/>
                <w:lang w:eastAsia="es-ES"/>
              </w:rPr>
            </w:pPr>
            <w:r w:rsidRPr="00BB6097">
              <w:rPr>
                <w:rFonts w:eastAsia="Times New Roman" w:cs="Arial"/>
                <w:b/>
                <w:bCs/>
                <w:color w:val="FFFFFF"/>
                <w:sz w:val="16"/>
                <w:szCs w:val="16"/>
                <w:lang w:eastAsia="es-ES"/>
              </w:rPr>
              <w:t>FORMA</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BB6097" w:rsidRDefault="00FA5AFD" w:rsidP="00BB6097">
            <w:pPr>
              <w:jc w:val="center"/>
              <w:rPr>
                <w:rFonts w:eastAsia="Times New Roman" w:cs="Arial"/>
                <w:b/>
                <w:bCs/>
                <w:color w:val="FFFFFF"/>
                <w:sz w:val="16"/>
                <w:szCs w:val="16"/>
                <w:lang w:eastAsia="es-ES"/>
              </w:rPr>
            </w:pPr>
            <w:r w:rsidRPr="00BB6097">
              <w:rPr>
                <w:rFonts w:eastAsia="Times New Roman" w:cs="Arial"/>
                <w:b/>
                <w:bCs/>
                <w:color w:val="FFFFFF"/>
                <w:sz w:val="16"/>
                <w:szCs w:val="16"/>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BB6097" w:rsidRDefault="00FA5AFD" w:rsidP="00BB6097">
            <w:pPr>
              <w:jc w:val="center"/>
              <w:rPr>
                <w:rFonts w:eastAsia="Times New Roman" w:cs="Arial"/>
                <w:b/>
                <w:bCs/>
                <w:color w:val="FFFFFF"/>
                <w:sz w:val="16"/>
                <w:szCs w:val="16"/>
                <w:lang w:eastAsia="es-ES"/>
              </w:rPr>
            </w:pPr>
            <w:r w:rsidRPr="00BB6097">
              <w:rPr>
                <w:rFonts w:eastAsia="Times New Roman" w:cs="Arial"/>
                <w:b/>
                <w:bCs/>
                <w:color w:val="FFFFFF"/>
                <w:sz w:val="16"/>
                <w:szCs w:val="16"/>
                <w:lang w:eastAsia="es-ES"/>
              </w:rPr>
              <w:t>TOTAL</w:t>
            </w:r>
          </w:p>
        </w:tc>
      </w:tr>
      <w:tr w:rsidR="00FA5AFD" w:rsidRPr="00BB6097" w:rsidTr="00BB6097">
        <w:trPr>
          <w:trHeight w:val="1895"/>
        </w:trPr>
        <w:tc>
          <w:tcPr>
            <w:tcW w:w="2151" w:type="pct"/>
            <w:tcBorders>
              <w:top w:val="nil"/>
              <w:left w:val="nil"/>
              <w:right w:val="single" w:sz="8" w:space="0" w:color="auto"/>
            </w:tcBorders>
            <w:shd w:val="clear" w:color="000000" w:fill="65AD82"/>
            <w:noWrap/>
            <w:vAlign w:val="center"/>
            <w:hideMark/>
          </w:tcPr>
          <w:p w:rsidR="00FA5AFD" w:rsidRPr="00BB6097" w:rsidRDefault="00FA5AFD" w:rsidP="00BB6097">
            <w:pPr>
              <w:jc w:val="center"/>
              <w:rPr>
                <w:rFonts w:eastAsia="Times New Roman" w:cs="Arial"/>
                <w:b/>
                <w:bCs/>
                <w:color w:val="FFFFFF"/>
                <w:sz w:val="16"/>
                <w:szCs w:val="16"/>
                <w:lang w:eastAsia="es-ES"/>
              </w:rPr>
            </w:pPr>
          </w:p>
        </w:tc>
        <w:tc>
          <w:tcPr>
            <w:tcW w:w="465" w:type="pct"/>
            <w:vMerge/>
            <w:tcBorders>
              <w:top w:val="single" w:sz="8" w:space="0" w:color="auto"/>
              <w:left w:val="single" w:sz="8" w:space="0" w:color="auto"/>
              <w:right w:val="single" w:sz="8" w:space="0" w:color="auto"/>
            </w:tcBorders>
            <w:vAlign w:val="center"/>
            <w:hideMark/>
          </w:tcPr>
          <w:p w:rsidR="00FA5AFD" w:rsidRPr="00BB6097" w:rsidRDefault="00FA5AFD" w:rsidP="00BB6097">
            <w:pPr>
              <w:jc w:val="center"/>
              <w:rPr>
                <w:rFonts w:eastAsia="Times New Roman" w:cs="Arial"/>
                <w:b/>
                <w:bCs/>
                <w:color w:val="FFFFFF"/>
                <w:sz w:val="16"/>
                <w:szCs w:val="16"/>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BB6097" w:rsidRDefault="00FA5AFD" w:rsidP="00BB6097">
            <w:pPr>
              <w:jc w:val="center"/>
              <w:rPr>
                <w:rFonts w:eastAsia="Times New Roman" w:cs="Arial"/>
                <w:b/>
                <w:bCs/>
                <w:color w:val="FFFFFF"/>
                <w:sz w:val="16"/>
                <w:szCs w:val="16"/>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BB6097" w:rsidRDefault="00FA5AFD" w:rsidP="00BB6097">
            <w:pPr>
              <w:jc w:val="center"/>
              <w:rPr>
                <w:rFonts w:eastAsia="Times New Roman" w:cs="Arial"/>
                <w:b/>
                <w:bCs/>
                <w:color w:val="FFFFFF"/>
                <w:sz w:val="16"/>
                <w:szCs w:val="16"/>
                <w:lang w:eastAsia="es-ES"/>
              </w:rPr>
            </w:pPr>
            <w:r w:rsidRPr="00BB6097">
              <w:rPr>
                <w:rFonts w:eastAsia="Times New Roman" w:cs="Arial"/>
                <w:b/>
                <w:bCs/>
                <w:color w:val="FFFFFF"/>
                <w:sz w:val="16"/>
                <w:szCs w:val="16"/>
                <w:lang w:eastAsia="es-ES"/>
              </w:rPr>
              <w:t>ESTRUCTURACIÓN</w:t>
            </w:r>
          </w:p>
        </w:tc>
        <w:tc>
          <w:tcPr>
            <w:tcW w:w="292" w:type="pct"/>
            <w:tcBorders>
              <w:top w:val="nil"/>
              <w:left w:val="nil"/>
              <w:right w:val="single" w:sz="8" w:space="0" w:color="auto"/>
            </w:tcBorders>
            <w:shd w:val="clear" w:color="000000" w:fill="65AD82"/>
            <w:textDirection w:val="tbRl"/>
            <w:vAlign w:val="center"/>
            <w:hideMark/>
          </w:tcPr>
          <w:p w:rsidR="00FA5AFD" w:rsidRPr="00BB6097" w:rsidRDefault="00FA5AFD" w:rsidP="00BB6097">
            <w:pPr>
              <w:jc w:val="center"/>
              <w:rPr>
                <w:rFonts w:eastAsia="Times New Roman" w:cs="Arial"/>
                <w:b/>
                <w:bCs/>
                <w:color w:val="FFFFFF"/>
                <w:sz w:val="16"/>
                <w:szCs w:val="16"/>
                <w:lang w:eastAsia="es-ES"/>
              </w:rPr>
            </w:pPr>
            <w:r w:rsidRPr="00BB6097">
              <w:rPr>
                <w:rFonts w:eastAsia="Times New Roman" w:cs="Arial"/>
                <w:b/>
                <w:bCs/>
                <w:color w:val="FFFFFF"/>
                <w:sz w:val="16"/>
                <w:szCs w:val="16"/>
                <w:lang w:eastAsia="es-ES"/>
              </w:rPr>
              <w:t>ACCESIBILIDAD</w:t>
            </w:r>
          </w:p>
        </w:tc>
        <w:tc>
          <w:tcPr>
            <w:tcW w:w="292" w:type="pct"/>
            <w:tcBorders>
              <w:top w:val="nil"/>
              <w:left w:val="nil"/>
              <w:right w:val="single" w:sz="8" w:space="0" w:color="auto"/>
            </w:tcBorders>
            <w:shd w:val="clear" w:color="000000" w:fill="65AD82"/>
            <w:textDirection w:val="tbRl"/>
            <w:vAlign w:val="center"/>
            <w:hideMark/>
          </w:tcPr>
          <w:p w:rsidR="00FA5AFD" w:rsidRPr="00BB6097" w:rsidRDefault="00FA5AFD" w:rsidP="00BB6097">
            <w:pPr>
              <w:jc w:val="center"/>
              <w:rPr>
                <w:rFonts w:eastAsia="Times New Roman" w:cs="Arial"/>
                <w:b/>
                <w:bCs/>
                <w:color w:val="FFFFFF"/>
                <w:sz w:val="16"/>
                <w:szCs w:val="16"/>
                <w:lang w:eastAsia="es-ES"/>
              </w:rPr>
            </w:pPr>
            <w:r w:rsidRPr="00BB6097">
              <w:rPr>
                <w:rFonts w:eastAsia="Times New Roman" w:cs="Arial"/>
                <w:b/>
                <w:bCs/>
                <w:color w:val="FFFFFF"/>
                <w:sz w:val="16"/>
                <w:szCs w:val="16"/>
                <w:lang w:eastAsia="es-ES"/>
              </w:rPr>
              <w:t>CLARIDAD</w:t>
            </w:r>
          </w:p>
        </w:tc>
        <w:tc>
          <w:tcPr>
            <w:tcW w:w="292" w:type="pct"/>
            <w:tcBorders>
              <w:top w:val="nil"/>
              <w:left w:val="nil"/>
              <w:right w:val="single" w:sz="8" w:space="0" w:color="auto"/>
            </w:tcBorders>
            <w:shd w:val="clear" w:color="000000" w:fill="65AD82"/>
            <w:textDirection w:val="tbRl"/>
            <w:vAlign w:val="center"/>
            <w:hideMark/>
          </w:tcPr>
          <w:p w:rsidR="00FA5AFD" w:rsidRPr="00BB6097" w:rsidRDefault="00FA5AFD" w:rsidP="00BB6097">
            <w:pPr>
              <w:jc w:val="center"/>
              <w:rPr>
                <w:rFonts w:eastAsia="Times New Roman" w:cs="Arial"/>
                <w:b/>
                <w:bCs/>
                <w:color w:val="FFFFFF"/>
                <w:sz w:val="16"/>
                <w:szCs w:val="16"/>
                <w:lang w:eastAsia="es-ES"/>
              </w:rPr>
            </w:pPr>
            <w:r w:rsidRPr="00BB6097">
              <w:rPr>
                <w:rFonts w:eastAsia="Times New Roman" w:cs="Arial"/>
                <w:b/>
                <w:bCs/>
                <w:color w:val="FFFFFF"/>
                <w:sz w:val="16"/>
                <w:szCs w:val="16"/>
                <w:lang w:eastAsia="es-ES"/>
              </w:rPr>
              <w:t>REUTILIZACIÓN</w:t>
            </w:r>
          </w:p>
        </w:tc>
        <w:tc>
          <w:tcPr>
            <w:tcW w:w="298" w:type="pct"/>
            <w:tcBorders>
              <w:top w:val="nil"/>
              <w:left w:val="nil"/>
              <w:right w:val="single" w:sz="8" w:space="0" w:color="auto"/>
            </w:tcBorders>
            <w:shd w:val="clear" w:color="000000" w:fill="65AD82"/>
            <w:textDirection w:val="tbRl"/>
            <w:vAlign w:val="center"/>
            <w:hideMark/>
          </w:tcPr>
          <w:p w:rsidR="00FA5AFD" w:rsidRPr="00BB6097" w:rsidRDefault="00FA5AFD" w:rsidP="00BB6097">
            <w:pPr>
              <w:jc w:val="center"/>
              <w:rPr>
                <w:rFonts w:eastAsia="Times New Roman" w:cs="Arial"/>
                <w:b/>
                <w:bCs/>
                <w:color w:val="FFFFFF"/>
                <w:sz w:val="16"/>
                <w:szCs w:val="16"/>
                <w:lang w:eastAsia="es-ES"/>
              </w:rPr>
            </w:pPr>
            <w:r w:rsidRPr="00BB6097">
              <w:rPr>
                <w:rFonts w:eastAsia="Times New Roman" w:cs="Arial"/>
                <w:b/>
                <w:bCs/>
                <w:color w:val="FFFFFF"/>
                <w:sz w:val="16"/>
                <w:szCs w:val="16"/>
                <w:lang w:eastAsia="es-ES"/>
              </w:rPr>
              <w:t>ACTUALIZACIÓN</w:t>
            </w:r>
          </w:p>
        </w:tc>
        <w:tc>
          <w:tcPr>
            <w:tcW w:w="354" w:type="pct"/>
            <w:vMerge/>
            <w:tcBorders>
              <w:top w:val="single" w:sz="8" w:space="0" w:color="auto"/>
              <w:left w:val="single" w:sz="8" w:space="0" w:color="auto"/>
              <w:right w:val="single" w:sz="8" w:space="0" w:color="auto"/>
            </w:tcBorders>
            <w:vAlign w:val="center"/>
            <w:hideMark/>
          </w:tcPr>
          <w:p w:rsidR="00FA5AFD" w:rsidRPr="00BB6097" w:rsidRDefault="00FA5AFD" w:rsidP="00BB6097">
            <w:pPr>
              <w:jc w:val="center"/>
              <w:rPr>
                <w:rFonts w:eastAsia="Times New Roman" w:cs="Arial"/>
                <w:b/>
                <w:bCs/>
                <w:color w:val="FFFFFF"/>
                <w:sz w:val="16"/>
                <w:szCs w:val="16"/>
                <w:lang w:eastAsia="es-ES"/>
              </w:rPr>
            </w:pPr>
          </w:p>
        </w:tc>
      </w:tr>
      <w:tr w:rsidR="00FA5AFD" w:rsidRPr="00BB6097" w:rsidTr="00BB6097">
        <w:trPr>
          <w:trHeight w:val="315"/>
        </w:trPr>
        <w:tc>
          <w:tcPr>
            <w:tcW w:w="5000" w:type="pct"/>
            <w:gridSpan w:val="9"/>
            <w:shd w:val="clear" w:color="000000" w:fill="F2F2F2"/>
            <w:vAlign w:val="center"/>
            <w:hideMark/>
          </w:tcPr>
          <w:p w:rsidR="00FA5AFD" w:rsidRPr="00BB6097" w:rsidRDefault="00FA5AFD" w:rsidP="00BB6097">
            <w:pPr>
              <w:rPr>
                <w:rFonts w:eastAsia="Times New Roman" w:cs="Arial"/>
                <w:b/>
                <w:bCs/>
                <w:color w:val="000000"/>
                <w:sz w:val="16"/>
                <w:szCs w:val="16"/>
                <w:lang w:eastAsia="es-ES"/>
              </w:rPr>
            </w:pPr>
            <w:r w:rsidRPr="00BB6097">
              <w:rPr>
                <w:rFonts w:eastAsia="Times New Roman" w:cs="Arial"/>
                <w:b/>
                <w:bCs/>
                <w:color w:val="000000"/>
                <w:sz w:val="16"/>
                <w:szCs w:val="16"/>
                <w:lang w:eastAsia="es-ES"/>
              </w:rPr>
              <w:t>INSTITUCIONAL, ORGANIZATIVA Y DE PLANIFICACIÓN</w:t>
            </w:r>
          </w:p>
        </w:tc>
      </w:tr>
      <w:tr w:rsidR="00BB6097" w:rsidRPr="00BB6097" w:rsidTr="00BB6097">
        <w:trPr>
          <w:trHeight w:val="315"/>
        </w:trPr>
        <w:tc>
          <w:tcPr>
            <w:tcW w:w="2151" w:type="pct"/>
            <w:tcBorders>
              <w:left w:val="nil"/>
              <w:bottom w:val="nil"/>
              <w:right w:val="nil"/>
            </w:tcBorders>
            <w:shd w:val="clear" w:color="auto" w:fill="F5FDFA"/>
            <w:noWrap/>
            <w:vAlign w:val="center"/>
            <w:hideMark/>
          </w:tcPr>
          <w:p w:rsidR="00BB6097" w:rsidRPr="00BB6097" w:rsidRDefault="00BB6097" w:rsidP="00BB6097">
            <w:pPr>
              <w:rPr>
                <w:rFonts w:eastAsia="Times New Roman" w:cs="Arial"/>
                <w:sz w:val="16"/>
                <w:szCs w:val="16"/>
                <w:lang w:eastAsia="es-ES"/>
              </w:rPr>
            </w:pPr>
            <w:r w:rsidRPr="00BB6097">
              <w:rPr>
                <w:rFonts w:eastAsia="Times New Roman" w:cs="Arial"/>
                <w:sz w:val="16"/>
                <w:szCs w:val="16"/>
                <w:lang w:eastAsia="es-ES"/>
              </w:rPr>
              <w:t>Institucional</w:t>
            </w:r>
          </w:p>
        </w:tc>
        <w:tc>
          <w:tcPr>
            <w:tcW w:w="465" w:type="pct"/>
            <w:tcBorders>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398" w:type="pct"/>
            <w:tcBorders>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458" w:type="pct"/>
            <w:tcBorders>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292" w:type="pct"/>
            <w:tcBorders>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292" w:type="pct"/>
            <w:tcBorders>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292" w:type="pct"/>
            <w:tcBorders>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298" w:type="pct"/>
            <w:tcBorders>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33,3</w:t>
            </w:r>
          </w:p>
        </w:tc>
        <w:tc>
          <w:tcPr>
            <w:tcW w:w="354" w:type="pct"/>
            <w:tcBorders>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90,5</w:t>
            </w:r>
          </w:p>
        </w:tc>
      </w:tr>
      <w:tr w:rsidR="00BB6097" w:rsidRPr="00BB6097" w:rsidTr="00BB6097">
        <w:trPr>
          <w:trHeight w:val="315"/>
        </w:trPr>
        <w:tc>
          <w:tcPr>
            <w:tcW w:w="2151" w:type="pct"/>
            <w:tcBorders>
              <w:top w:val="nil"/>
              <w:left w:val="nil"/>
              <w:bottom w:val="nil"/>
              <w:right w:val="nil"/>
            </w:tcBorders>
            <w:shd w:val="clear" w:color="auto" w:fill="F5FDFA"/>
            <w:noWrap/>
            <w:vAlign w:val="center"/>
            <w:hideMark/>
          </w:tcPr>
          <w:p w:rsidR="00BB6097" w:rsidRPr="00BB6097" w:rsidRDefault="00BB6097" w:rsidP="00BB6097">
            <w:pPr>
              <w:rPr>
                <w:rFonts w:eastAsia="Times New Roman" w:cs="Arial"/>
                <w:sz w:val="16"/>
                <w:szCs w:val="16"/>
                <w:lang w:eastAsia="es-ES"/>
              </w:rPr>
            </w:pPr>
            <w:r w:rsidRPr="00BB6097">
              <w:rPr>
                <w:rFonts w:eastAsia="Times New Roman" w:cs="Arial"/>
                <w:sz w:val="16"/>
                <w:szCs w:val="16"/>
                <w:lang w:eastAsia="es-ES"/>
              </w:rPr>
              <w:t>Organizativa</w:t>
            </w:r>
          </w:p>
        </w:tc>
        <w:tc>
          <w:tcPr>
            <w:tcW w:w="465"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398"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458"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292"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292"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292"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298"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75,0</w:t>
            </w:r>
          </w:p>
        </w:tc>
        <w:tc>
          <w:tcPr>
            <w:tcW w:w="354"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96,4</w:t>
            </w:r>
          </w:p>
        </w:tc>
      </w:tr>
      <w:tr w:rsidR="00BB6097" w:rsidRPr="00BB6097" w:rsidTr="00BB6097">
        <w:trPr>
          <w:trHeight w:val="315"/>
        </w:trPr>
        <w:tc>
          <w:tcPr>
            <w:tcW w:w="2151" w:type="pct"/>
            <w:tcBorders>
              <w:top w:val="nil"/>
              <w:left w:val="nil"/>
              <w:bottom w:val="nil"/>
              <w:right w:val="nil"/>
            </w:tcBorders>
            <w:shd w:val="clear" w:color="auto" w:fill="65AD82"/>
            <w:noWrap/>
            <w:vAlign w:val="center"/>
            <w:hideMark/>
          </w:tcPr>
          <w:p w:rsidR="00BB6097" w:rsidRPr="00BB6097" w:rsidRDefault="00BB6097" w:rsidP="00BB6097">
            <w:pPr>
              <w:jc w:val="center"/>
              <w:rPr>
                <w:rFonts w:eastAsia="Times New Roman" w:cs="Arial"/>
                <w:b/>
                <w:color w:val="FFFFFF" w:themeColor="background1"/>
                <w:sz w:val="16"/>
                <w:szCs w:val="16"/>
                <w:lang w:eastAsia="es-ES"/>
              </w:rPr>
            </w:pPr>
            <w:r w:rsidRPr="00BB6097">
              <w:rPr>
                <w:rFonts w:eastAsia="Times New Roman" w:cs="Arial"/>
                <w:b/>
                <w:color w:val="FFFFFF" w:themeColor="background1"/>
                <w:sz w:val="16"/>
                <w:szCs w:val="16"/>
                <w:lang w:eastAsia="es-ES"/>
              </w:rPr>
              <w:t>Total IOP</w:t>
            </w:r>
          </w:p>
        </w:tc>
        <w:tc>
          <w:tcPr>
            <w:tcW w:w="465" w:type="pct"/>
            <w:tcBorders>
              <w:top w:val="nil"/>
              <w:left w:val="nil"/>
              <w:bottom w:val="nil"/>
              <w:right w:val="nil"/>
            </w:tcBorders>
            <w:shd w:val="clear" w:color="auto" w:fill="65AD82"/>
            <w:noWrap/>
            <w:vAlign w:val="center"/>
          </w:tcPr>
          <w:p w:rsidR="00BB6097" w:rsidRPr="00BB6097" w:rsidRDefault="00BB6097" w:rsidP="00BB6097">
            <w:pPr>
              <w:jc w:val="center"/>
              <w:rPr>
                <w:b/>
                <w:color w:val="FFFFFF" w:themeColor="background1"/>
                <w:sz w:val="16"/>
                <w:szCs w:val="16"/>
              </w:rPr>
            </w:pPr>
            <w:r w:rsidRPr="00BB6097">
              <w:rPr>
                <w:b/>
                <w:color w:val="FFFFFF" w:themeColor="background1"/>
                <w:sz w:val="16"/>
                <w:szCs w:val="16"/>
              </w:rPr>
              <w:t>100,0</w:t>
            </w:r>
          </w:p>
        </w:tc>
        <w:tc>
          <w:tcPr>
            <w:tcW w:w="398" w:type="pct"/>
            <w:tcBorders>
              <w:top w:val="nil"/>
              <w:left w:val="nil"/>
              <w:bottom w:val="nil"/>
              <w:right w:val="nil"/>
            </w:tcBorders>
            <w:shd w:val="clear" w:color="auto" w:fill="65AD82"/>
            <w:noWrap/>
            <w:vAlign w:val="center"/>
          </w:tcPr>
          <w:p w:rsidR="00BB6097" w:rsidRPr="00BB6097" w:rsidRDefault="00BB6097" w:rsidP="00BB6097">
            <w:pPr>
              <w:jc w:val="center"/>
              <w:rPr>
                <w:b/>
                <w:color w:val="FFFFFF" w:themeColor="background1"/>
                <w:sz w:val="16"/>
                <w:szCs w:val="16"/>
              </w:rPr>
            </w:pPr>
            <w:r w:rsidRPr="00BB6097">
              <w:rPr>
                <w:b/>
                <w:color w:val="FFFFFF" w:themeColor="background1"/>
                <w:sz w:val="16"/>
                <w:szCs w:val="16"/>
              </w:rPr>
              <w:t>100,0</w:t>
            </w:r>
          </w:p>
        </w:tc>
        <w:tc>
          <w:tcPr>
            <w:tcW w:w="458" w:type="pct"/>
            <w:tcBorders>
              <w:top w:val="nil"/>
              <w:left w:val="nil"/>
              <w:bottom w:val="nil"/>
              <w:right w:val="nil"/>
            </w:tcBorders>
            <w:shd w:val="clear" w:color="auto" w:fill="65AD82"/>
            <w:noWrap/>
            <w:vAlign w:val="center"/>
          </w:tcPr>
          <w:p w:rsidR="00BB6097" w:rsidRPr="00BB6097" w:rsidRDefault="00BB6097" w:rsidP="00BB6097">
            <w:pPr>
              <w:jc w:val="center"/>
              <w:rPr>
                <w:b/>
                <w:color w:val="FFFFFF" w:themeColor="background1"/>
                <w:sz w:val="16"/>
                <w:szCs w:val="16"/>
              </w:rPr>
            </w:pPr>
            <w:r w:rsidRPr="00BB6097">
              <w:rPr>
                <w:b/>
                <w:color w:val="FFFFFF" w:themeColor="background1"/>
                <w:sz w:val="16"/>
                <w:szCs w:val="16"/>
              </w:rPr>
              <w:t>100,0</w:t>
            </w:r>
          </w:p>
        </w:tc>
        <w:tc>
          <w:tcPr>
            <w:tcW w:w="292" w:type="pct"/>
            <w:tcBorders>
              <w:top w:val="nil"/>
              <w:left w:val="nil"/>
              <w:bottom w:val="nil"/>
              <w:right w:val="nil"/>
            </w:tcBorders>
            <w:shd w:val="clear" w:color="auto" w:fill="65AD82"/>
            <w:noWrap/>
            <w:vAlign w:val="center"/>
          </w:tcPr>
          <w:p w:rsidR="00BB6097" w:rsidRPr="00BB6097" w:rsidRDefault="00BB6097" w:rsidP="00BB6097">
            <w:pPr>
              <w:jc w:val="center"/>
              <w:rPr>
                <w:b/>
                <w:color w:val="FFFFFF" w:themeColor="background1"/>
                <w:sz w:val="16"/>
                <w:szCs w:val="16"/>
              </w:rPr>
            </w:pPr>
            <w:r w:rsidRPr="00BB6097">
              <w:rPr>
                <w:b/>
                <w:color w:val="FFFFFF" w:themeColor="background1"/>
                <w:sz w:val="16"/>
                <w:szCs w:val="16"/>
              </w:rPr>
              <w:t>100,0</w:t>
            </w:r>
          </w:p>
        </w:tc>
        <w:tc>
          <w:tcPr>
            <w:tcW w:w="292" w:type="pct"/>
            <w:tcBorders>
              <w:top w:val="nil"/>
              <w:left w:val="nil"/>
              <w:bottom w:val="nil"/>
              <w:right w:val="nil"/>
            </w:tcBorders>
            <w:shd w:val="clear" w:color="auto" w:fill="65AD82"/>
            <w:noWrap/>
            <w:vAlign w:val="center"/>
          </w:tcPr>
          <w:p w:rsidR="00BB6097" w:rsidRPr="00BB6097" w:rsidRDefault="00BB6097" w:rsidP="00BB6097">
            <w:pPr>
              <w:jc w:val="center"/>
              <w:rPr>
                <w:b/>
                <w:color w:val="FFFFFF" w:themeColor="background1"/>
                <w:sz w:val="16"/>
                <w:szCs w:val="16"/>
              </w:rPr>
            </w:pPr>
            <w:r w:rsidRPr="00BB6097">
              <w:rPr>
                <w:b/>
                <w:color w:val="FFFFFF" w:themeColor="background1"/>
                <w:sz w:val="16"/>
                <w:szCs w:val="16"/>
              </w:rPr>
              <w:t>100,0</w:t>
            </w:r>
          </w:p>
        </w:tc>
        <w:tc>
          <w:tcPr>
            <w:tcW w:w="292" w:type="pct"/>
            <w:tcBorders>
              <w:top w:val="nil"/>
              <w:left w:val="nil"/>
              <w:bottom w:val="nil"/>
              <w:right w:val="nil"/>
            </w:tcBorders>
            <w:shd w:val="clear" w:color="auto" w:fill="65AD82"/>
            <w:noWrap/>
            <w:vAlign w:val="center"/>
          </w:tcPr>
          <w:p w:rsidR="00BB6097" w:rsidRPr="00BB6097" w:rsidRDefault="00BB6097" w:rsidP="00BB6097">
            <w:pPr>
              <w:jc w:val="center"/>
              <w:rPr>
                <w:b/>
                <w:color w:val="FFFFFF" w:themeColor="background1"/>
                <w:sz w:val="16"/>
                <w:szCs w:val="16"/>
              </w:rPr>
            </w:pPr>
            <w:r w:rsidRPr="00BB6097">
              <w:rPr>
                <w:b/>
                <w:color w:val="FFFFFF" w:themeColor="background1"/>
                <w:sz w:val="16"/>
                <w:szCs w:val="16"/>
              </w:rPr>
              <w:t>100,0</w:t>
            </w:r>
          </w:p>
        </w:tc>
        <w:tc>
          <w:tcPr>
            <w:tcW w:w="298" w:type="pct"/>
            <w:tcBorders>
              <w:top w:val="nil"/>
              <w:left w:val="nil"/>
              <w:bottom w:val="nil"/>
              <w:right w:val="nil"/>
            </w:tcBorders>
            <w:shd w:val="clear" w:color="auto" w:fill="65AD82"/>
            <w:noWrap/>
            <w:vAlign w:val="center"/>
          </w:tcPr>
          <w:p w:rsidR="00BB6097" w:rsidRPr="00BB6097" w:rsidRDefault="00BB6097" w:rsidP="00BB6097">
            <w:pPr>
              <w:jc w:val="center"/>
              <w:rPr>
                <w:b/>
                <w:color w:val="FFFFFF" w:themeColor="background1"/>
                <w:sz w:val="16"/>
                <w:szCs w:val="16"/>
              </w:rPr>
            </w:pPr>
            <w:r w:rsidRPr="00BB6097">
              <w:rPr>
                <w:b/>
                <w:color w:val="FFFFFF" w:themeColor="background1"/>
                <w:sz w:val="16"/>
                <w:szCs w:val="16"/>
              </w:rPr>
              <w:t>57,1</w:t>
            </w:r>
          </w:p>
        </w:tc>
        <w:tc>
          <w:tcPr>
            <w:tcW w:w="354" w:type="pct"/>
            <w:tcBorders>
              <w:top w:val="nil"/>
              <w:left w:val="nil"/>
              <w:bottom w:val="nil"/>
              <w:right w:val="nil"/>
            </w:tcBorders>
            <w:shd w:val="clear" w:color="auto" w:fill="65AD82"/>
            <w:noWrap/>
            <w:vAlign w:val="center"/>
          </w:tcPr>
          <w:p w:rsidR="00BB6097" w:rsidRPr="00BB6097" w:rsidRDefault="00BB6097" w:rsidP="00BB6097">
            <w:pPr>
              <w:jc w:val="center"/>
              <w:rPr>
                <w:b/>
                <w:color w:val="FFFFFF" w:themeColor="background1"/>
                <w:sz w:val="16"/>
                <w:szCs w:val="16"/>
              </w:rPr>
            </w:pPr>
            <w:r w:rsidRPr="00BB6097">
              <w:rPr>
                <w:b/>
                <w:color w:val="FFFFFF" w:themeColor="background1"/>
                <w:sz w:val="16"/>
                <w:szCs w:val="16"/>
              </w:rPr>
              <w:t>93,9</w:t>
            </w:r>
          </w:p>
        </w:tc>
      </w:tr>
      <w:tr w:rsidR="00CC48E8" w:rsidRPr="00BB6097" w:rsidTr="00BB6097">
        <w:trPr>
          <w:trHeight w:val="315"/>
        </w:trPr>
        <w:tc>
          <w:tcPr>
            <w:tcW w:w="5000" w:type="pct"/>
            <w:gridSpan w:val="9"/>
            <w:tcBorders>
              <w:top w:val="nil"/>
              <w:left w:val="nil"/>
              <w:bottom w:val="nil"/>
              <w:right w:val="nil"/>
            </w:tcBorders>
            <w:shd w:val="clear" w:color="auto" w:fill="F2F2F2" w:themeFill="background1" w:themeFillShade="F2"/>
            <w:noWrap/>
            <w:vAlign w:val="center"/>
            <w:hideMark/>
          </w:tcPr>
          <w:p w:rsidR="00CC48E8" w:rsidRPr="00BB6097" w:rsidRDefault="00CC48E8" w:rsidP="00BB6097">
            <w:pPr>
              <w:jc w:val="center"/>
              <w:rPr>
                <w:b/>
                <w:sz w:val="16"/>
                <w:szCs w:val="16"/>
              </w:rPr>
            </w:pPr>
            <w:r w:rsidRPr="00BB6097">
              <w:rPr>
                <w:rFonts w:eastAsia="Times New Roman" w:cs="Arial"/>
                <w:b/>
                <w:sz w:val="16"/>
                <w:szCs w:val="16"/>
                <w:lang w:eastAsia="es-ES"/>
              </w:rPr>
              <w:t>INFORMACIÓN ECONÓMICA, PRESUPUESTARIA Y ESTADÍSTICA</w:t>
            </w:r>
          </w:p>
        </w:tc>
      </w:tr>
      <w:tr w:rsidR="00BB6097" w:rsidRPr="00BB6097" w:rsidTr="00BB6097">
        <w:trPr>
          <w:trHeight w:val="315"/>
        </w:trPr>
        <w:tc>
          <w:tcPr>
            <w:tcW w:w="2151" w:type="pct"/>
            <w:tcBorders>
              <w:top w:val="nil"/>
              <w:left w:val="nil"/>
              <w:bottom w:val="nil"/>
              <w:right w:val="nil"/>
            </w:tcBorders>
            <w:shd w:val="clear" w:color="auto" w:fill="F5FDFA"/>
            <w:noWrap/>
            <w:vAlign w:val="center"/>
            <w:hideMark/>
          </w:tcPr>
          <w:p w:rsidR="00BB6097" w:rsidRPr="00BB6097" w:rsidRDefault="00BB6097" w:rsidP="00BB6097">
            <w:pPr>
              <w:rPr>
                <w:rFonts w:eastAsia="Times New Roman" w:cs="Arial"/>
                <w:sz w:val="16"/>
                <w:szCs w:val="16"/>
                <w:lang w:eastAsia="es-ES"/>
              </w:rPr>
            </w:pPr>
            <w:bookmarkStart w:id="0" w:name="RANGE!C12"/>
            <w:r w:rsidRPr="00BB6097">
              <w:rPr>
                <w:rFonts w:eastAsia="Times New Roman" w:cs="Arial"/>
                <w:sz w:val="16"/>
                <w:szCs w:val="16"/>
                <w:lang w:eastAsia="es-ES"/>
              </w:rPr>
              <w:t>Contratos</w:t>
            </w:r>
            <w:bookmarkEnd w:id="0"/>
          </w:p>
        </w:tc>
        <w:tc>
          <w:tcPr>
            <w:tcW w:w="2849" w:type="pct"/>
            <w:gridSpan w:val="8"/>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No aplicable</w:t>
            </w:r>
          </w:p>
        </w:tc>
      </w:tr>
      <w:tr w:rsidR="00BB6097" w:rsidRPr="00BB6097" w:rsidTr="00BB6097">
        <w:trPr>
          <w:trHeight w:val="315"/>
        </w:trPr>
        <w:tc>
          <w:tcPr>
            <w:tcW w:w="2151" w:type="pct"/>
            <w:tcBorders>
              <w:top w:val="nil"/>
              <w:left w:val="nil"/>
              <w:bottom w:val="nil"/>
              <w:right w:val="nil"/>
            </w:tcBorders>
            <w:shd w:val="clear" w:color="auto" w:fill="F5FDFA"/>
            <w:noWrap/>
            <w:vAlign w:val="center"/>
            <w:hideMark/>
          </w:tcPr>
          <w:p w:rsidR="00BB6097" w:rsidRPr="00BB6097" w:rsidRDefault="00BB6097" w:rsidP="00BB6097">
            <w:pPr>
              <w:rPr>
                <w:rFonts w:eastAsia="Times New Roman" w:cs="Arial"/>
                <w:sz w:val="16"/>
                <w:szCs w:val="16"/>
                <w:lang w:eastAsia="es-ES"/>
              </w:rPr>
            </w:pPr>
            <w:r w:rsidRPr="00BB6097">
              <w:rPr>
                <w:rFonts w:eastAsia="Times New Roman" w:cs="Arial"/>
                <w:sz w:val="16"/>
                <w:szCs w:val="16"/>
                <w:lang w:eastAsia="es-ES"/>
              </w:rPr>
              <w:t>Convenios</w:t>
            </w:r>
          </w:p>
        </w:tc>
        <w:tc>
          <w:tcPr>
            <w:tcW w:w="465"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85,7</w:t>
            </w:r>
          </w:p>
        </w:tc>
        <w:tc>
          <w:tcPr>
            <w:tcW w:w="398"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458"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292"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292"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292"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298"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354"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98,0</w:t>
            </w:r>
          </w:p>
        </w:tc>
      </w:tr>
      <w:tr w:rsidR="00BB6097" w:rsidRPr="00BB6097" w:rsidTr="00BB6097">
        <w:trPr>
          <w:trHeight w:val="315"/>
        </w:trPr>
        <w:tc>
          <w:tcPr>
            <w:tcW w:w="2151" w:type="pct"/>
            <w:tcBorders>
              <w:top w:val="nil"/>
              <w:left w:val="nil"/>
              <w:bottom w:val="nil"/>
              <w:right w:val="nil"/>
            </w:tcBorders>
            <w:shd w:val="clear" w:color="auto" w:fill="F5FDFA"/>
            <w:noWrap/>
            <w:vAlign w:val="center"/>
          </w:tcPr>
          <w:p w:rsidR="00BB6097" w:rsidRPr="00BB6097" w:rsidRDefault="00BB6097" w:rsidP="00BB6097">
            <w:pPr>
              <w:rPr>
                <w:rFonts w:eastAsia="Times New Roman" w:cs="Arial"/>
                <w:sz w:val="16"/>
                <w:szCs w:val="16"/>
                <w:lang w:eastAsia="es-ES"/>
              </w:rPr>
            </w:pPr>
            <w:r>
              <w:rPr>
                <w:rFonts w:eastAsia="Times New Roman" w:cs="Arial"/>
                <w:sz w:val="16"/>
                <w:szCs w:val="16"/>
                <w:lang w:eastAsia="es-ES"/>
              </w:rPr>
              <w:t>Subvenciones</w:t>
            </w:r>
          </w:p>
        </w:tc>
        <w:tc>
          <w:tcPr>
            <w:tcW w:w="465"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398"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458"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292"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292"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292"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298"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c>
          <w:tcPr>
            <w:tcW w:w="354" w:type="pct"/>
            <w:tcBorders>
              <w:top w:val="nil"/>
              <w:left w:val="nil"/>
              <w:bottom w:val="nil"/>
              <w:right w:val="nil"/>
            </w:tcBorders>
            <w:shd w:val="clear" w:color="auto" w:fill="F5FDFA"/>
            <w:noWrap/>
            <w:vAlign w:val="center"/>
          </w:tcPr>
          <w:p w:rsidR="00BB6097" w:rsidRPr="00BB6097" w:rsidRDefault="00BB6097" w:rsidP="00BB6097">
            <w:pPr>
              <w:jc w:val="center"/>
              <w:rPr>
                <w:sz w:val="16"/>
                <w:szCs w:val="16"/>
              </w:rPr>
            </w:pPr>
            <w:r w:rsidRPr="00BB6097">
              <w:rPr>
                <w:sz w:val="16"/>
                <w:szCs w:val="16"/>
              </w:rPr>
              <w:t>100,0</w:t>
            </w:r>
          </w:p>
        </w:tc>
      </w:tr>
      <w:tr w:rsidR="00BB6097" w:rsidRPr="00BB6097" w:rsidTr="00BB6097">
        <w:trPr>
          <w:trHeight w:val="315"/>
        </w:trPr>
        <w:tc>
          <w:tcPr>
            <w:tcW w:w="2151" w:type="pct"/>
            <w:tcBorders>
              <w:top w:val="nil"/>
              <w:left w:val="nil"/>
              <w:bottom w:val="nil"/>
              <w:right w:val="nil"/>
            </w:tcBorders>
            <w:shd w:val="clear" w:color="auto" w:fill="65AD82"/>
            <w:noWrap/>
            <w:vAlign w:val="center"/>
            <w:hideMark/>
          </w:tcPr>
          <w:p w:rsidR="00BB6097" w:rsidRPr="00BB6097" w:rsidRDefault="00BB6097" w:rsidP="00BB6097">
            <w:pPr>
              <w:jc w:val="center"/>
              <w:rPr>
                <w:rFonts w:eastAsia="Times New Roman" w:cs="Arial"/>
                <w:b/>
                <w:color w:val="FFFFFF" w:themeColor="background1"/>
                <w:sz w:val="16"/>
                <w:szCs w:val="16"/>
                <w:lang w:eastAsia="es-ES"/>
              </w:rPr>
            </w:pPr>
            <w:r w:rsidRPr="00BB6097">
              <w:rPr>
                <w:rFonts w:eastAsia="Times New Roman" w:cs="Arial"/>
                <w:b/>
                <w:color w:val="FFFFFF" w:themeColor="background1"/>
                <w:sz w:val="16"/>
                <w:szCs w:val="16"/>
                <w:lang w:eastAsia="es-ES"/>
              </w:rPr>
              <w:t>Total EPE</w:t>
            </w:r>
          </w:p>
        </w:tc>
        <w:tc>
          <w:tcPr>
            <w:tcW w:w="465" w:type="pct"/>
            <w:tcBorders>
              <w:top w:val="nil"/>
              <w:left w:val="nil"/>
              <w:bottom w:val="nil"/>
              <w:right w:val="nil"/>
            </w:tcBorders>
            <w:shd w:val="clear" w:color="auto" w:fill="65AD82"/>
            <w:noWrap/>
            <w:vAlign w:val="center"/>
          </w:tcPr>
          <w:p w:rsidR="00BB6097" w:rsidRPr="00BB6097" w:rsidRDefault="00BB6097" w:rsidP="00BB6097">
            <w:pPr>
              <w:jc w:val="center"/>
              <w:rPr>
                <w:b/>
                <w:color w:val="FFFFFF" w:themeColor="background1"/>
                <w:sz w:val="16"/>
                <w:szCs w:val="16"/>
              </w:rPr>
            </w:pPr>
            <w:r w:rsidRPr="00BB6097">
              <w:rPr>
                <w:b/>
                <w:color w:val="FFFFFF" w:themeColor="background1"/>
                <w:sz w:val="16"/>
                <w:szCs w:val="16"/>
              </w:rPr>
              <w:t>92,9</w:t>
            </w:r>
          </w:p>
        </w:tc>
        <w:tc>
          <w:tcPr>
            <w:tcW w:w="398" w:type="pct"/>
            <w:tcBorders>
              <w:top w:val="nil"/>
              <w:left w:val="nil"/>
              <w:bottom w:val="nil"/>
              <w:right w:val="nil"/>
            </w:tcBorders>
            <w:shd w:val="clear" w:color="auto" w:fill="65AD82"/>
            <w:noWrap/>
            <w:vAlign w:val="center"/>
          </w:tcPr>
          <w:p w:rsidR="00BB6097" w:rsidRPr="00BB6097" w:rsidRDefault="00BB6097" w:rsidP="00BB6097">
            <w:pPr>
              <w:jc w:val="center"/>
              <w:rPr>
                <w:b/>
                <w:color w:val="FFFFFF" w:themeColor="background1"/>
                <w:sz w:val="16"/>
                <w:szCs w:val="16"/>
              </w:rPr>
            </w:pPr>
            <w:r w:rsidRPr="00BB6097">
              <w:rPr>
                <w:b/>
                <w:color w:val="FFFFFF" w:themeColor="background1"/>
                <w:sz w:val="16"/>
                <w:szCs w:val="16"/>
              </w:rPr>
              <w:t>100,0</w:t>
            </w:r>
          </w:p>
        </w:tc>
        <w:tc>
          <w:tcPr>
            <w:tcW w:w="458" w:type="pct"/>
            <w:tcBorders>
              <w:top w:val="nil"/>
              <w:left w:val="nil"/>
              <w:bottom w:val="nil"/>
              <w:right w:val="nil"/>
            </w:tcBorders>
            <w:shd w:val="clear" w:color="auto" w:fill="65AD82"/>
            <w:noWrap/>
            <w:vAlign w:val="center"/>
          </w:tcPr>
          <w:p w:rsidR="00BB6097" w:rsidRPr="00BB6097" w:rsidRDefault="00BB6097" w:rsidP="00BB6097">
            <w:pPr>
              <w:jc w:val="center"/>
              <w:rPr>
                <w:b/>
                <w:color w:val="FFFFFF" w:themeColor="background1"/>
                <w:sz w:val="16"/>
                <w:szCs w:val="16"/>
              </w:rPr>
            </w:pPr>
            <w:r w:rsidRPr="00BB6097">
              <w:rPr>
                <w:b/>
                <w:color w:val="FFFFFF" w:themeColor="background1"/>
                <w:sz w:val="16"/>
                <w:szCs w:val="16"/>
              </w:rPr>
              <w:t>100,0</w:t>
            </w:r>
          </w:p>
        </w:tc>
        <w:tc>
          <w:tcPr>
            <w:tcW w:w="292" w:type="pct"/>
            <w:tcBorders>
              <w:top w:val="nil"/>
              <w:left w:val="nil"/>
              <w:bottom w:val="nil"/>
              <w:right w:val="nil"/>
            </w:tcBorders>
            <w:shd w:val="clear" w:color="auto" w:fill="65AD82"/>
            <w:noWrap/>
            <w:vAlign w:val="center"/>
          </w:tcPr>
          <w:p w:rsidR="00BB6097" w:rsidRPr="00BB6097" w:rsidRDefault="00BB6097" w:rsidP="00BB6097">
            <w:pPr>
              <w:jc w:val="center"/>
              <w:rPr>
                <w:b/>
                <w:color w:val="FFFFFF" w:themeColor="background1"/>
                <w:sz w:val="16"/>
                <w:szCs w:val="16"/>
              </w:rPr>
            </w:pPr>
            <w:r w:rsidRPr="00BB6097">
              <w:rPr>
                <w:b/>
                <w:color w:val="FFFFFF" w:themeColor="background1"/>
                <w:sz w:val="16"/>
                <w:szCs w:val="16"/>
              </w:rPr>
              <w:t>100,0</w:t>
            </w:r>
          </w:p>
        </w:tc>
        <w:tc>
          <w:tcPr>
            <w:tcW w:w="292" w:type="pct"/>
            <w:tcBorders>
              <w:top w:val="nil"/>
              <w:left w:val="nil"/>
              <w:bottom w:val="nil"/>
              <w:right w:val="nil"/>
            </w:tcBorders>
            <w:shd w:val="clear" w:color="auto" w:fill="65AD82"/>
            <w:noWrap/>
            <w:vAlign w:val="center"/>
          </w:tcPr>
          <w:p w:rsidR="00BB6097" w:rsidRPr="00BB6097" w:rsidRDefault="00BB6097" w:rsidP="00BB6097">
            <w:pPr>
              <w:jc w:val="center"/>
              <w:rPr>
                <w:b/>
                <w:color w:val="FFFFFF" w:themeColor="background1"/>
                <w:sz w:val="16"/>
                <w:szCs w:val="16"/>
              </w:rPr>
            </w:pPr>
            <w:r w:rsidRPr="00BB6097">
              <w:rPr>
                <w:b/>
                <w:color w:val="FFFFFF" w:themeColor="background1"/>
                <w:sz w:val="16"/>
                <w:szCs w:val="16"/>
              </w:rPr>
              <w:t>100,0</w:t>
            </w:r>
          </w:p>
        </w:tc>
        <w:tc>
          <w:tcPr>
            <w:tcW w:w="292" w:type="pct"/>
            <w:tcBorders>
              <w:top w:val="nil"/>
              <w:left w:val="nil"/>
              <w:bottom w:val="nil"/>
              <w:right w:val="nil"/>
            </w:tcBorders>
            <w:shd w:val="clear" w:color="auto" w:fill="65AD82"/>
            <w:noWrap/>
            <w:vAlign w:val="center"/>
          </w:tcPr>
          <w:p w:rsidR="00BB6097" w:rsidRPr="00BB6097" w:rsidRDefault="00BB6097" w:rsidP="00BB6097">
            <w:pPr>
              <w:jc w:val="center"/>
              <w:rPr>
                <w:b/>
                <w:color w:val="FFFFFF" w:themeColor="background1"/>
                <w:sz w:val="16"/>
                <w:szCs w:val="16"/>
              </w:rPr>
            </w:pPr>
            <w:r w:rsidRPr="00BB6097">
              <w:rPr>
                <w:b/>
                <w:color w:val="FFFFFF" w:themeColor="background1"/>
                <w:sz w:val="16"/>
                <w:szCs w:val="16"/>
              </w:rPr>
              <w:t>100,0</w:t>
            </w:r>
          </w:p>
        </w:tc>
        <w:tc>
          <w:tcPr>
            <w:tcW w:w="298" w:type="pct"/>
            <w:tcBorders>
              <w:top w:val="nil"/>
              <w:left w:val="nil"/>
              <w:bottom w:val="nil"/>
              <w:right w:val="nil"/>
            </w:tcBorders>
            <w:shd w:val="clear" w:color="auto" w:fill="65AD82"/>
            <w:noWrap/>
            <w:vAlign w:val="center"/>
          </w:tcPr>
          <w:p w:rsidR="00BB6097" w:rsidRPr="00BB6097" w:rsidRDefault="00BB6097" w:rsidP="00BB6097">
            <w:pPr>
              <w:jc w:val="center"/>
              <w:rPr>
                <w:b/>
                <w:color w:val="FFFFFF" w:themeColor="background1"/>
                <w:sz w:val="16"/>
                <w:szCs w:val="16"/>
              </w:rPr>
            </w:pPr>
            <w:r w:rsidRPr="00BB6097">
              <w:rPr>
                <w:b/>
                <w:color w:val="FFFFFF" w:themeColor="background1"/>
                <w:sz w:val="16"/>
                <w:szCs w:val="16"/>
              </w:rPr>
              <w:t>100,0</w:t>
            </w:r>
          </w:p>
        </w:tc>
        <w:tc>
          <w:tcPr>
            <w:tcW w:w="354" w:type="pct"/>
            <w:tcBorders>
              <w:top w:val="nil"/>
              <w:left w:val="nil"/>
              <w:bottom w:val="nil"/>
              <w:right w:val="nil"/>
            </w:tcBorders>
            <w:shd w:val="clear" w:color="auto" w:fill="65AD82"/>
            <w:noWrap/>
            <w:vAlign w:val="center"/>
          </w:tcPr>
          <w:p w:rsidR="00BB6097" w:rsidRPr="00BB6097" w:rsidRDefault="00BB6097" w:rsidP="00BB6097">
            <w:pPr>
              <w:jc w:val="center"/>
              <w:rPr>
                <w:b/>
                <w:color w:val="FFFFFF" w:themeColor="background1"/>
                <w:sz w:val="16"/>
                <w:szCs w:val="16"/>
              </w:rPr>
            </w:pPr>
            <w:r w:rsidRPr="00BB6097">
              <w:rPr>
                <w:b/>
                <w:color w:val="FFFFFF" w:themeColor="background1"/>
                <w:sz w:val="16"/>
                <w:szCs w:val="16"/>
              </w:rPr>
              <w:t>99,0</w:t>
            </w:r>
          </w:p>
        </w:tc>
      </w:tr>
      <w:tr w:rsidR="00FA5AFD" w:rsidRPr="00BB6097" w:rsidTr="00BB6097">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BB6097" w:rsidRDefault="00FA5AFD" w:rsidP="00BB6097">
            <w:pPr>
              <w:jc w:val="center"/>
              <w:rPr>
                <w:rFonts w:eastAsia="Times New Roman" w:cs="Arial"/>
                <w:b/>
                <w:bCs/>
                <w:color w:val="FFFFFF"/>
                <w:sz w:val="16"/>
                <w:szCs w:val="16"/>
                <w:lang w:eastAsia="es-ES"/>
              </w:rPr>
            </w:pPr>
            <w:r w:rsidRPr="00BB6097">
              <w:rPr>
                <w:rFonts w:eastAsia="Times New Roman" w:cs="Arial"/>
                <w:b/>
                <w:bCs/>
                <w:color w:val="FFFFFF"/>
                <w:sz w:val="16"/>
                <w:szCs w:val="16"/>
                <w:lang w:eastAsia="es-ES"/>
              </w:rPr>
              <w:t>INDICE DE CUMPLIMIENTO DE LA INFORMACION OBLIGATORIA</w:t>
            </w:r>
            <w:r w:rsidR="00CC48E8" w:rsidRPr="00BB6097">
              <w:rPr>
                <w:rFonts w:eastAsia="Times New Roman" w:cs="Arial"/>
                <w:b/>
                <w:bCs/>
                <w:color w:val="FFFFFF"/>
                <w:sz w:val="16"/>
                <w:szCs w:val="16"/>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vAlign w:val="center"/>
          </w:tcPr>
          <w:p w:rsidR="00FA5AFD" w:rsidRPr="00BB6097" w:rsidRDefault="00BB6097" w:rsidP="00BB6097">
            <w:pPr>
              <w:jc w:val="center"/>
              <w:rPr>
                <w:rFonts w:eastAsia="Times New Roman" w:cs="Arial"/>
                <w:b/>
                <w:sz w:val="16"/>
                <w:szCs w:val="16"/>
                <w:lang w:eastAsia="es-ES"/>
              </w:rPr>
            </w:pPr>
            <w:r w:rsidRPr="00BB6097">
              <w:rPr>
                <w:rFonts w:eastAsia="Times New Roman" w:cs="Arial"/>
                <w:b/>
                <w:sz w:val="16"/>
                <w:szCs w:val="16"/>
                <w:lang w:eastAsia="es-ES"/>
              </w:rPr>
              <w:t>95</w:t>
            </w:r>
          </w:p>
        </w:tc>
      </w:tr>
    </w:tbl>
    <w:p w:rsidR="00FA5AFD" w:rsidRDefault="00FA5AFD" w:rsidP="00F05E2C">
      <w:pPr>
        <w:pStyle w:val="Cuerpodelboletn"/>
        <w:rPr>
          <w:lang w:bidi="es-ES"/>
        </w:rPr>
      </w:pPr>
    </w:p>
    <w:p w:rsidR="00714C54" w:rsidRDefault="00714C54" w:rsidP="00F05E2C">
      <w:pPr>
        <w:pStyle w:val="Cuerpodelboletn"/>
      </w:pPr>
    </w:p>
    <w:p w:rsidR="00A24E51" w:rsidRDefault="00BB6097" w:rsidP="00F05E2C">
      <w:pPr>
        <w:pStyle w:val="Cuerpodelboletn"/>
      </w:pPr>
      <w:r>
        <w:t xml:space="preserve">El Índice de Cumplimiento de la Información Obligatoria (ICIO) alcanza un 95%. </w:t>
      </w:r>
    </w:p>
    <w:p w:rsidR="00BB6097" w:rsidRDefault="00BB6097" w:rsidP="00F05E2C">
      <w:pPr>
        <w:pStyle w:val="Cuerpodelboletn"/>
        <w:sectPr w:rsidR="00BB6097"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7D59C3" w:rsidRDefault="007D59C3" w:rsidP="007D59C3">
      <w:pPr>
        <w:pStyle w:val="Cuerpodelboletn"/>
      </w:pPr>
      <w:r>
        <w:t xml:space="preserve">Este CTBG </w:t>
      </w:r>
      <w:r w:rsidRPr="007D59C3">
        <w:t>valora positivamente el esfuerzo realizado por el C</w:t>
      </w:r>
      <w:r w:rsidRPr="007D59C3">
        <w:t>GCAE</w:t>
      </w:r>
      <w:r w:rsidRPr="007D59C3">
        <w:t xml:space="preserve"> para mejorar el cumplimiento de las obligaciones de publicidad</w:t>
      </w:r>
      <w:r>
        <w:t xml:space="preserve"> activa. Se ha aplicado </w:t>
      </w:r>
      <w:r>
        <w:t>más de</w:t>
      </w:r>
      <w:r>
        <w:t xml:space="preserve">l </w:t>
      </w:r>
      <w:r>
        <w:t>90</w:t>
      </w:r>
      <w:r>
        <w:t xml:space="preserve">% de las recomendaciones efectuadas, lo que ha tenido un más que notable reflejo en el ICIO alcanzado. Si en la evaluación de 2020 el ICIO se situaba en un </w:t>
      </w:r>
      <w:r>
        <w:t>46,2</w:t>
      </w:r>
      <w:r>
        <w:t xml:space="preserve">%, en 2021 alcanza el </w:t>
      </w:r>
      <w:r>
        <w:t>95</w:t>
      </w:r>
      <w:r>
        <w:t xml:space="preserve">%, con un incremento de </w:t>
      </w:r>
      <w:r>
        <w:t>48,8</w:t>
      </w:r>
      <w:r>
        <w:t xml:space="preserve"> puntos porcentuales. </w:t>
      </w:r>
    </w:p>
    <w:p w:rsidR="007D59C3" w:rsidRDefault="007D59C3" w:rsidP="007D59C3">
      <w:pPr>
        <w:pStyle w:val="Cuerpodelboletn"/>
      </w:pPr>
      <w:r>
        <w:t xml:space="preserve">Es especialmente reseñable el hecho de que el </w:t>
      </w:r>
      <w:r w:rsidRPr="007D59C3">
        <w:t xml:space="preserve">CGCAE </w:t>
      </w:r>
      <w:r>
        <w:t xml:space="preserve">publique voluntariamente información adicional relevante desde el punto de la transparencia. Algunas de estas informaciones se corresponden con obligaciones de publicidad activa contempladas en la LTAIBG pero que no son de aplicación a los Colegios Profesionales.  </w:t>
      </w:r>
    </w:p>
    <w:p w:rsidR="007D59C3" w:rsidRDefault="007D59C3" w:rsidP="007D59C3">
      <w:pPr>
        <w:pStyle w:val="Cuerpodelboletn"/>
        <w:sectPr w:rsidR="007D59C3" w:rsidSect="00C259F4">
          <w:type w:val="continuous"/>
          <w:pgSz w:w="11906" w:h="16838" w:code="9"/>
          <w:pgMar w:top="1440" w:right="720" w:bottom="1440" w:left="720" w:header="720" w:footer="720" w:gutter="0"/>
          <w:cols w:space="720"/>
          <w:docGrid w:linePitch="326"/>
        </w:sectPr>
      </w:pPr>
    </w:p>
    <w:p w:rsidR="007D59C3" w:rsidRDefault="007D59C3" w:rsidP="007D59C3">
      <w:pPr>
        <w:pStyle w:val="Sinespaciado"/>
        <w:spacing w:line="276" w:lineRule="auto"/>
        <w:jc w:val="both"/>
        <w:rPr>
          <w:rFonts w:ascii="Century Gothic" w:hAnsi="Century Gothic"/>
        </w:rPr>
      </w:pPr>
      <w:r>
        <w:rPr>
          <w:rFonts w:ascii="Century Gothic" w:hAnsi="Century Gothic"/>
        </w:rPr>
        <w:lastRenderedPageBreak/>
        <w:t xml:space="preserve">Este Consejo felicita al </w:t>
      </w:r>
      <w:r>
        <w:rPr>
          <w:rFonts w:ascii="Century Gothic" w:hAnsi="Century Gothic"/>
        </w:rPr>
        <w:t>CGCAE</w:t>
      </w:r>
      <w:r>
        <w:rPr>
          <w:rFonts w:ascii="Century Gothic" w:hAnsi="Century Gothic"/>
        </w:rPr>
        <w:t xml:space="preserve"> por los resultados obtenidos y le anima a mantener el nivel de cumplimiento alcanzado.</w:t>
      </w:r>
    </w:p>
    <w:p w:rsidR="007D59C3" w:rsidRDefault="007D59C3" w:rsidP="007D59C3">
      <w:pPr>
        <w:pStyle w:val="Sinespaciado"/>
        <w:spacing w:line="276" w:lineRule="auto"/>
        <w:jc w:val="both"/>
        <w:rPr>
          <w:rFonts w:ascii="Century Gothic" w:hAnsi="Century Gothic"/>
        </w:rPr>
      </w:pPr>
    </w:p>
    <w:p w:rsidR="007D59C3" w:rsidRDefault="007D59C3" w:rsidP="007D59C3">
      <w:pPr>
        <w:pStyle w:val="Sinespaciado"/>
        <w:spacing w:line="276" w:lineRule="auto"/>
        <w:jc w:val="both"/>
        <w:rPr>
          <w:rFonts w:ascii="Century Gothic" w:hAnsi="Century Gothic"/>
        </w:rPr>
      </w:pPr>
      <w:r>
        <w:rPr>
          <w:rFonts w:ascii="Century Gothic" w:hAnsi="Century Gothic"/>
        </w:rPr>
        <w:t>Madrid, junio de 2021</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bookmarkStart w:id="1" w:name="_GoBack"/>
      <w:bookmarkEnd w:id="1"/>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B6097" w:rsidRPr="00F31BC3" w:rsidRDefault="00BB6097"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Wuvn8OAgAA&#10;CgQAAA4AAAAAAAAAAAAAAAAALgIAAGRycy9lMm9Eb2MueG1sUEsBAi0AFAAGAAgAAAAhACLvoFPc&#10;AAAABwEAAA8AAAAAAAAAAAAAAAAAaAQAAGRycy9kb3ducmV2LnhtbFBLBQYAAAAABAAEAPMAAABx&#10;BQAAAAA=&#10;" fillcolor="#50866c" stroked="f">
                <v:textbox inset=",7.2pt,,7.2pt">
                  <w:txbxContent>
                    <w:p w:rsidR="00C02953" w:rsidRPr="00F31BC3" w:rsidRDefault="00C02953" w:rsidP="002D27E4">
                      <w:r w:rsidRPr="00965C69">
                        <w:rPr>
                          <w:noProof/>
                          <w:lang w:eastAsia="es-ES"/>
                        </w:rPr>
                        <w:drawing>
                          <wp:inline distT="0" distB="0" distL="0" distR="0" wp14:anchorId="090B12A5" wp14:editId="08D6EAC2">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B6097" w:rsidRPr="00F31BC3" w:rsidRDefault="00BB6097"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7EA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J4dRKzhuaJBEGYFpI+EBk94HfORlrGivtvO4GKM/POkqir4uoqbu+lg5dOfekIKwmq4oGzydyG&#10;aeN3DnXXU6Ui6WPhhgbR6qRRZDyxOo6PFi6pfPwccaMv/RT16wtvng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8q1rsQ&#10;AgAACgQAAA4AAAAAAAAAAAAAAAAALgIAAGRycy9lMm9Eb2MueG1sUEsBAi0AFAAGAAgAAAAhAAQI&#10;aEHdAAAACQEAAA8AAAAAAAAAAAAAAAAAagQAAGRycy9kb3ducmV2LnhtbFBLBQYAAAAABAAEAPMA&#10;AAB0BQAAAAA=&#10;" fillcolor="#50866c" stroked="f">
                    <v:textbox inset=",7.2pt,,7.2pt">
                      <w:txbxContent>
                        <w:p w:rsidR="00C02953" w:rsidRPr="00F31BC3" w:rsidRDefault="00C02953" w:rsidP="002D27E4">
                          <w:r w:rsidRPr="00965C69">
                            <w:rPr>
                              <w:noProof/>
                              <w:lang w:eastAsia="es-ES"/>
                            </w:rPr>
                            <w:drawing>
                              <wp:inline distT="0" distB="0" distL="0" distR="0" wp14:anchorId="730F1CBB" wp14:editId="25CE2A32">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97" w:rsidRDefault="00BB6097" w:rsidP="00F31BC3">
      <w:r>
        <w:separator/>
      </w:r>
    </w:p>
  </w:endnote>
  <w:endnote w:type="continuationSeparator" w:id="0">
    <w:p w:rsidR="00BB6097" w:rsidRDefault="00BB6097"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97" w:rsidRDefault="00BB6097" w:rsidP="00F31BC3">
      <w:r>
        <w:separator/>
      </w:r>
    </w:p>
  </w:footnote>
  <w:footnote w:type="continuationSeparator" w:id="0">
    <w:p w:rsidR="00BB6097" w:rsidRDefault="00BB6097"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21682B"/>
    <w:rsid w:val="00231D61"/>
    <w:rsid w:val="00243294"/>
    <w:rsid w:val="00244EDA"/>
    <w:rsid w:val="002467FA"/>
    <w:rsid w:val="00263F79"/>
    <w:rsid w:val="002D0702"/>
    <w:rsid w:val="002D27E4"/>
    <w:rsid w:val="002E409F"/>
    <w:rsid w:val="0031769F"/>
    <w:rsid w:val="00347877"/>
    <w:rsid w:val="00355DC0"/>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506864"/>
    <w:rsid w:val="005301DF"/>
    <w:rsid w:val="00536832"/>
    <w:rsid w:val="00563295"/>
    <w:rsid w:val="005B1544"/>
    <w:rsid w:val="005C4778"/>
    <w:rsid w:val="005E2505"/>
    <w:rsid w:val="005E6704"/>
    <w:rsid w:val="00603DFC"/>
    <w:rsid w:val="006266A5"/>
    <w:rsid w:val="00633EAA"/>
    <w:rsid w:val="0069673B"/>
    <w:rsid w:val="006B75D8"/>
    <w:rsid w:val="006C0CDD"/>
    <w:rsid w:val="006D49E7"/>
    <w:rsid w:val="006D4C90"/>
    <w:rsid w:val="006D712A"/>
    <w:rsid w:val="006E75DE"/>
    <w:rsid w:val="007071A8"/>
    <w:rsid w:val="00707C14"/>
    <w:rsid w:val="00714C54"/>
    <w:rsid w:val="00717272"/>
    <w:rsid w:val="0073626B"/>
    <w:rsid w:val="00751FAA"/>
    <w:rsid w:val="00760E4B"/>
    <w:rsid w:val="0076640C"/>
    <w:rsid w:val="00767C60"/>
    <w:rsid w:val="00777FB3"/>
    <w:rsid w:val="00781700"/>
    <w:rsid w:val="00790143"/>
    <w:rsid w:val="007942B7"/>
    <w:rsid w:val="007954A6"/>
    <w:rsid w:val="007D1701"/>
    <w:rsid w:val="007D59C3"/>
    <w:rsid w:val="007D5CBF"/>
    <w:rsid w:val="007D69D9"/>
    <w:rsid w:val="007F1D56"/>
    <w:rsid w:val="007F5F9D"/>
    <w:rsid w:val="00803D20"/>
    <w:rsid w:val="008068E0"/>
    <w:rsid w:val="00807495"/>
    <w:rsid w:val="00821526"/>
    <w:rsid w:val="0082470D"/>
    <w:rsid w:val="00825ACB"/>
    <w:rsid w:val="00882A5B"/>
    <w:rsid w:val="00891E6F"/>
    <w:rsid w:val="00894358"/>
    <w:rsid w:val="0089455A"/>
    <w:rsid w:val="00897D04"/>
    <w:rsid w:val="008A5AAE"/>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77C12"/>
    <w:rsid w:val="00B85EA1"/>
    <w:rsid w:val="00B87734"/>
    <w:rsid w:val="00BA03C4"/>
    <w:rsid w:val="00BA14E6"/>
    <w:rsid w:val="00BA3611"/>
    <w:rsid w:val="00BB2529"/>
    <w:rsid w:val="00BB6097"/>
    <w:rsid w:val="00BC61D1"/>
    <w:rsid w:val="00BD18E4"/>
    <w:rsid w:val="00BD1E44"/>
    <w:rsid w:val="00BD2172"/>
    <w:rsid w:val="00BD2842"/>
    <w:rsid w:val="00C02953"/>
    <w:rsid w:val="00C1290B"/>
    <w:rsid w:val="00C213EC"/>
    <w:rsid w:val="00C22B10"/>
    <w:rsid w:val="00C24010"/>
    <w:rsid w:val="00C259F4"/>
    <w:rsid w:val="00C27705"/>
    <w:rsid w:val="00C3228C"/>
    <w:rsid w:val="00C4050E"/>
    <w:rsid w:val="00C4430D"/>
    <w:rsid w:val="00C451D3"/>
    <w:rsid w:val="00C54D21"/>
    <w:rsid w:val="00C555C6"/>
    <w:rsid w:val="00C61E7F"/>
    <w:rsid w:val="00C66E73"/>
    <w:rsid w:val="00C91330"/>
    <w:rsid w:val="00CC48E8"/>
    <w:rsid w:val="00CD3DE8"/>
    <w:rsid w:val="00CF21EB"/>
    <w:rsid w:val="00D014E1"/>
    <w:rsid w:val="00D01CA1"/>
    <w:rsid w:val="00D1453D"/>
    <w:rsid w:val="00D41F4C"/>
    <w:rsid w:val="00D520C8"/>
    <w:rsid w:val="00D70570"/>
    <w:rsid w:val="00D96084"/>
    <w:rsid w:val="00DA6660"/>
    <w:rsid w:val="00DC5B52"/>
    <w:rsid w:val="00DD515F"/>
    <w:rsid w:val="00DF25D7"/>
    <w:rsid w:val="00DF555F"/>
    <w:rsid w:val="00E023B5"/>
    <w:rsid w:val="00E17DF6"/>
    <w:rsid w:val="00E33169"/>
    <w:rsid w:val="00E51AC4"/>
    <w:rsid w:val="00E6528C"/>
    <w:rsid w:val="00E73F4D"/>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5D1227"/>
    <w:rsid w:val="00787EBD"/>
    <w:rsid w:val="008E118A"/>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FB7FE-17E3-483C-B850-4197F83D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45</TotalTime>
  <Pages>4</Pages>
  <Words>743</Words>
  <Characters>4088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3</cp:revision>
  <cp:lastPrinted>2008-09-26T23:14:00Z</cp:lastPrinted>
  <dcterms:created xsi:type="dcterms:W3CDTF">2021-01-21T12:55:00Z</dcterms:created>
  <dcterms:modified xsi:type="dcterms:W3CDTF">2021-09-02T08:18:00Z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