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1F309B" w:rsidRDefault="001F309B"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D45F5C">
                                  <w:rPr>
                                    <w:rFonts w:ascii="Century Gothic" w:hAnsi="Century Gothic"/>
                                    <w:sz w:val="40"/>
                                    <w:szCs w:val="40"/>
                                    <w:lang w:bidi="es-ES"/>
                                  </w:rPr>
                                  <w:t xml:space="preserve">Colegios de </w:t>
                                </w:r>
                                <w:r w:rsidRPr="00774C97">
                                  <w:rPr>
                                    <w:rFonts w:ascii="Century Gothic" w:hAnsi="Century Gothic"/>
                                    <w:sz w:val="40"/>
                                    <w:szCs w:val="40"/>
                                    <w:lang w:bidi="es-ES"/>
                                  </w:rPr>
                                  <w:t>Gestores Administrativos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1F309B" w:rsidRDefault="001F309B"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D45F5C">
                            <w:rPr>
                              <w:rFonts w:ascii="Century Gothic" w:hAnsi="Century Gothic"/>
                              <w:sz w:val="40"/>
                              <w:szCs w:val="40"/>
                              <w:lang w:bidi="es-ES"/>
                            </w:rPr>
                            <w:t xml:space="preserve">Colegios de </w:t>
                          </w:r>
                          <w:r w:rsidRPr="00774C97">
                            <w:rPr>
                              <w:rFonts w:ascii="Century Gothic" w:hAnsi="Century Gothic"/>
                              <w:sz w:val="40"/>
                              <w:szCs w:val="40"/>
                              <w:lang w:bidi="es-ES"/>
                            </w:rPr>
                            <w:t>Gestores Administrativos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1F309B" w:rsidRDefault="001F309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F309B" w:rsidRDefault="001F309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D344C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A06BF1" w:rsidP="00183301">
            <w:pPr>
              <w:jc w:val="center"/>
              <w:rPr>
                <w:sz w:val="20"/>
                <w:szCs w:val="20"/>
              </w:rPr>
            </w:pPr>
            <w:r>
              <w:rPr>
                <w:sz w:val="20"/>
                <w:szCs w:val="20"/>
              </w:rPr>
              <w:t>X</w:t>
            </w:r>
          </w:p>
        </w:tc>
        <w:tc>
          <w:tcPr>
            <w:tcW w:w="3203" w:type="dxa"/>
          </w:tcPr>
          <w:p w:rsidR="00183301" w:rsidRPr="007942B7" w:rsidRDefault="00D344CA"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E83650" w:rsidRPr="007942B7" w:rsidTr="00183301">
        <w:tc>
          <w:tcPr>
            <w:tcW w:w="2093" w:type="dxa"/>
            <w:vMerge w:val="restart"/>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A06BF1" w:rsidP="00E83650">
            <w:pPr>
              <w:rPr>
                <w:sz w:val="20"/>
                <w:szCs w:val="20"/>
              </w:rPr>
            </w:pPr>
            <w:r>
              <w:rPr>
                <w:sz w:val="20"/>
                <w:szCs w:val="20"/>
              </w:rPr>
              <w:t>Funciones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8761CE" w:rsidP="00AC4A6F">
            <w:pPr>
              <w:rPr>
                <w:sz w:val="20"/>
                <w:szCs w:val="20"/>
              </w:rPr>
            </w:pPr>
            <w:r>
              <w:rPr>
                <w:sz w:val="20"/>
                <w:szCs w:val="20"/>
              </w:rPr>
              <w:t>Si</w:t>
            </w:r>
          </w:p>
        </w:tc>
      </w:tr>
      <w:tr w:rsidR="00E83650" w:rsidRPr="007942B7" w:rsidTr="00183301">
        <w:tc>
          <w:tcPr>
            <w:tcW w:w="2093" w:type="dxa"/>
            <w:vMerge/>
            <w:vAlign w:val="center"/>
          </w:tcPr>
          <w:p w:rsidR="00E83650" w:rsidRPr="00C3228C" w:rsidRDefault="00E83650" w:rsidP="006D4C90">
            <w:pPr>
              <w:rPr>
                <w:sz w:val="20"/>
                <w:szCs w:val="20"/>
              </w:rPr>
            </w:pPr>
          </w:p>
        </w:tc>
        <w:tc>
          <w:tcPr>
            <w:tcW w:w="4819" w:type="dxa"/>
          </w:tcPr>
          <w:p w:rsidR="00E83650" w:rsidRDefault="00A06BF1" w:rsidP="00C3228C">
            <w:pPr>
              <w:rPr>
                <w:sz w:val="20"/>
                <w:szCs w:val="20"/>
              </w:rPr>
            </w:pPr>
            <w:r>
              <w:rPr>
                <w:sz w:val="20"/>
                <w:szCs w:val="20"/>
              </w:rPr>
              <w:t>Organigrama</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D344CA" w:rsidP="00AC4A6F">
            <w:pPr>
              <w:rPr>
                <w:sz w:val="20"/>
                <w:szCs w:val="20"/>
              </w:rPr>
            </w:pPr>
            <w:r w:rsidRPr="00D344CA">
              <w:rPr>
                <w:sz w:val="20"/>
                <w:szCs w:val="20"/>
              </w:rPr>
              <w:t>No</w:t>
            </w:r>
          </w:p>
        </w:tc>
      </w:tr>
      <w:tr w:rsidR="008761CE" w:rsidRPr="007942B7" w:rsidTr="00183301">
        <w:tc>
          <w:tcPr>
            <w:tcW w:w="2093" w:type="dxa"/>
            <w:vMerge/>
          </w:tcPr>
          <w:p w:rsidR="008761CE" w:rsidRPr="007942B7" w:rsidRDefault="008761CE" w:rsidP="00AC4A6F">
            <w:pPr>
              <w:rPr>
                <w:sz w:val="20"/>
                <w:szCs w:val="20"/>
              </w:rPr>
            </w:pPr>
          </w:p>
        </w:tc>
        <w:tc>
          <w:tcPr>
            <w:tcW w:w="4819" w:type="dxa"/>
          </w:tcPr>
          <w:p w:rsidR="008761CE" w:rsidRDefault="008761CE" w:rsidP="00564E23">
            <w:pPr>
              <w:rPr>
                <w:sz w:val="20"/>
                <w:szCs w:val="20"/>
              </w:rPr>
            </w:pPr>
            <w:r>
              <w:rPr>
                <w:sz w:val="20"/>
                <w:szCs w:val="20"/>
              </w:rPr>
              <w:t>Perfil y trayectoria profesional de los máximos responsables</w:t>
            </w:r>
          </w:p>
        </w:tc>
        <w:tc>
          <w:tcPr>
            <w:tcW w:w="567" w:type="dxa"/>
            <w:vAlign w:val="center"/>
          </w:tcPr>
          <w:p w:rsidR="008761CE" w:rsidRDefault="008761CE" w:rsidP="00183301">
            <w:pPr>
              <w:jc w:val="center"/>
              <w:rPr>
                <w:sz w:val="20"/>
                <w:szCs w:val="20"/>
              </w:rPr>
            </w:pPr>
            <w:r>
              <w:rPr>
                <w:sz w:val="20"/>
                <w:szCs w:val="20"/>
              </w:rPr>
              <w:t>X</w:t>
            </w:r>
          </w:p>
        </w:tc>
        <w:tc>
          <w:tcPr>
            <w:tcW w:w="3203" w:type="dxa"/>
          </w:tcPr>
          <w:p w:rsidR="008761CE" w:rsidRPr="008761CE" w:rsidRDefault="008761CE">
            <w:pPr>
              <w:rPr>
                <w:sz w:val="20"/>
                <w:szCs w:val="20"/>
              </w:rPr>
            </w:pPr>
            <w:r w:rsidRPr="008761CE">
              <w:rPr>
                <w:sz w:val="20"/>
                <w:szCs w:val="20"/>
              </w:rPr>
              <w:t>No</w:t>
            </w:r>
          </w:p>
        </w:tc>
      </w:tr>
      <w:tr w:rsidR="008761CE" w:rsidRPr="007942B7" w:rsidTr="00183301">
        <w:tc>
          <w:tcPr>
            <w:tcW w:w="2093" w:type="dxa"/>
            <w:vMerge/>
          </w:tcPr>
          <w:p w:rsidR="008761CE" w:rsidRPr="007942B7" w:rsidRDefault="008761CE" w:rsidP="00AC4A6F">
            <w:pPr>
              <w:rPr>
                <w:sz w:val="20"/>
                <w:szCs w:val="20"/>
              </w:rPr>
            </w:pPr>
          </w:p>
        </w:tc>
        <w:tc>
          <w:tcPr>
            <w:tcW w:w="4819" w:type="dxa"/>
          </w:tcPr>
          <w:p w:rsidR="008761CE" w:rsidRDefault="008761CE" w:rsidP="00564E23">
            <w:pPr>
              <w:rPr>
                <w:sz w:val="20"/>
                <w:szCs w:val="20"/>
              </w:rPr>
            </w:pPr>
            <w:r>
              <w:rPr>
                <w:sz w:val="20"/>
                <w:szCs w:val="20"/>
              </w:rPr>
              <w:t>Registro de Actividades de Tratamiento</w:t>
            </w:r>
          </w:p>
        </w:tc>
        <w:tc>
          <w:tcPr>
            <w:tcW w:w="567" w:type="dxa"/>
            <w:vAlign w:val="center"/>
          </w:tcPr>
          <w:p w:rsidR="008761CE" w:rsidRPr="00183301" w:rsidRDefault="008761CE" w:rsidP="00183301">
            <w:pPr>
              <w:jc w:val="center"/>
              <w:rPr>
                <w:sz w:val="20"/>
                <w:szCs w:val="20"/>
              </w:rPr>
            </w:pPr>
            <w:r>
              <w:rPr>
                <w:sz w:val="20"/>
                <w:szCs w:val="20"/>
              </w:rPr>
              <w:t>X</w:t>
            </w:r>
          </w:p>
        </w:tc>
        <w:tc>
          <w:tcPr>
            <w:tcW w:w="3203" w:type="dxa"/>
          </w:tcPr>
          <w:p w:rsidR="008761CE" w:rsidRPr="008761CE" w:rsidRDefault="008761CE">
            <w:pPr>
              <w:rPr>
                <w:sz w:val="20"/>
                <w:szCs w:val="20"/>
              </w:rPr>
            </w:pPr>
            <w:r w:rsidRPr="008761CE">
              <w:rPr>
                <w:sz w:val="20"/>
                <w:szCs w:val="20"/>
              </w:rPr>
              <w:t>No</w:t>
            </w:r>
          </w:p>
        </w:tc>
      </w:tr>
      <w:tr w:rsidR="008761CE" w:rsidRPr="007942B7" w:rsidTr="00183301">
        <w:tc>
          <w:tcPr>
            <w:tcW w:w="2093" w:type="dxa"/>
            <w:vMerge/>
          </w:tcPr>
          <w:p w:rsidR="008761CE" w:rsidRPr="007942B7" w:rsidRDefault="008761CE" w:rsidP="00AC4A6F">
            <w:pPr>
              <w:rPr>
                <w:sz w:val="20"/>
                <w:szCs w:val="20"/>
              </w:rPr>
            </w:pPr>
          </w:p>
        </w:tc>
        <w:tc>
          <w:tcPr>
            <w:tcW w:w="4819" w:type="dxa"/>
          </w:tcPr>
          <w:p w:rsidR="008761CE" w:rsidRDefault="008761CE" w:rsidP="00C3228C">
            <w:pPr>
              <w:rPr>
                <w:sz w:val="20"/>
                <w:szCs w:val="20"/>
              </w:rPr>
            </w:pPr>
            <w:r>
              <w:rPr>
                <w:sz w:val="20"/>
                <w:szCs w:val="20"/>
              </w:rPr>
              <w:t>Contratos sujetos a derecho administrativo</w:t>
            </w:r>
          </w:p>
        </w:tc>
        <w:tc>
          <w:tcPr>
            <w:tcW w:w="567" w:type="dxa"/>
            <w:vAlign w:val="center"/>
          </w:tcPr>
          <w:p w:rsidR="008761CE" w:rsidRPr="00183301" w:rsidRDefault="008761CE" w:rsidP="00183301">
            <w:pPr>
              <w:jc w:val="center"/>
              <w:rPr>
                <w:sz w:val="20"/>
                <w:szCs w:val="20"/>
              </w:rPr>
            </w:pPr>
            <w:r w:rsidRPr="00183301">
              <w:rPr>
                <w:sz w:val="20"/>
                <w:szCs w:val="20"/>
              </w:rPr>
              <w:t>X</w:t>
            </w:r>
          </w:p>
        </w:tc>
        <w:tc>
          <w:tcPr>
            <w:tcW w:w="3203" w:type="dxa"/>
          </w:tcPr>
          <w:p w:rsidR="008761CE" w:rsidRPr="008761CE" w:rsidRDefault="008761CE">
            <w:pPr>
              <w:rPr>
                <w:sz w:val="20"/>
                <w:szCs w:val="20"/>
              </w:rPr>
            </w:pPr>
            <w:r w:rsidRPr="008761CE">
              <w:rPr>
                <w:sz w:val="20"/>
                <w:szCs w:val="20"/>
              </w:rPr>
              <w:t>No</w:t>
            </w:r>
          </w:p>
        </w:tc>
      </w:tr>
      <w:tr w:rsidR="008761CE" w:rsidRPr="007942B7" w:rsidTr="00183301">
        <w:tc>
          <w:tcPr>
            <w:tcW w:w="2093" w:type="dxa"/>
            <w:vMerge/>
          </w:tcPr>
          <w:p w:rsidR="008761CE" w:rsidRPr="007942B7" w:rsidRDefault="008761CE" w:rsidP="00AC4A6F">
            <w:pPr>
              <w:rPr>
                <w:sz w:val="20"/>
                <w:szCs w:val="20"/>
              </w:rPr>
            </w:pPr>
          </w:p>
        </w:tc>
        <w:tc>
          <w:tcPr>
            <w:tcW w:w="4819" w:type="dxa"/>
          </w:tcPr>
          <w:p w:rsidR="008761CE" w:rsidRDefault="008761CE" w:rsidP="00AC4A6F">
            <w:pPr>
              <w:rPr>
                <w:sz w:val="20"/>
                <w:szCs w:val="20"/>
              </w:rPr>
            </w:pPr>
            <w:r>
              <w:rPr>
                <w:sz w:val="20"/>
                <w:szCs w:val="20"/>
              </w:rPr>
              <w:t>Subvenciones percibidas</w:t>
            </w:r>
          </w:p>
        </w:tc>
        <w:tc>
          <w:tcPr>
            <w:tcW w:w="567" w:type="dxa"/>
            <w:vAlign w:val="center"/>
          </w:tcPr>
          <w:p w:rsidR="008761CE" w:rsidRPr="00183301" w:rsidRDefault="008761CE" w:rsidP="00183301">
            <w:pPr>
              <w:jc w:val="center"/>
              <w:rPr>
                <w:sz w:val="20"/>
                <w:szCs w:val="20"/>
              </w:rPr>
            </w:pPr>
            <w:r w:rsidRPr="00183301">
              <w:rPr>
                <w:sz w:val="20"/>
                <w:szCs w:val="20"/>
              </w:rPr>
              <w:t>X</w:t>
            </w:r>
          </w:p>
        </w:tc>
        <w:tc>
          <w:tcPr>
            <w:tcW w:w="3203" w:type="dxa"/>
          </w:tcPr>
          <w:p w:rsidR="008761CE" w:rsidRPr="008761CE" w:rsidRDefault="008761CE">
            <w:pPr>
              <w:rPr>
                <w:sz w:val="20"/>
                <w:szCs w:val="20"/>
              </w:rPr>
            </w:pPr>
            <w:r w:rsidRPr="008761CE">
              <w:rPr>
                <w:sz w:val="20"/>
                <w:szCs w:val="20"/>
              </w:rPr>
              <w:t>No</w:t>
            </w:r>
          </w:p>
        </w:tc>
      </w:tr>
      <w:tr w:rsidR="008761CE" w:rsidRPr="007942B7" w:rsidTr="00183301">
        <w:tc>
          <w:tcPr>
            <w:tcW w:w="2093" w:type="dxa"/>
            <w:vMerge/>
          </w:tcPr>
          <w:p w:rsidR="008761CE" w:rsidRPr="007942B7" w:rsidRDefault="008761CE" w:rsidP="00AC4A6F">
            <w:pPr>
              <w:rPr>
                <w:sz w:val="20"/>
                <w:szCs w:val="20"/>
              </w:rPr>
            </w:pPr>
          </w:p>
        </w:tc>
        <w:tc>
          <w:tcPr>
            <w:tcW w:w="4819" w:type="dxa"/>
          </w:tcPr>
          <w:p w:rsidR="008761CE" w:rsidRDefault="008761CE" w:rsidP="00AC4A6F">
            <w:pPr>
              <w:rPr>
                <w:sz w:val="20"/>
                <w:szCs w:val="20"/>
              </w:rPr>
            </w:pPr>
            <w:r>
              <w:rPr>
                <w:sz w:val="20"/>
                <w:szCs w:val="20"/>
              </w:rPr>
              <w:t>Convenios</w:t>
            </w:r>
          </w:p>
        </w:tc>
        <w:tc>
          <w:tcPr>
            <w:tcW w:w="567" w:type="dxa"/>
            <w:vAlign w:val="center"/>
          </w:tcPr>
          <w:p w:rsidR="008761CE" w:rsidRPr="00183301" w:rsidRDefault="008761CE" w:rsidP="00183301">
            <w:pPr>
              <w:jc w:val="center"/>
              <w:rPr>
                <w:sz w:val="20"/>
                <w:szCs w:val="20"/>
              </w:rPr>
            </w:pPr>
            <w:r w:rsidRPr="00183301">
              <w:rPr>
                <w:sz w:val="20"/>
                <w:szCs w:val="20"/>
              </w:rPr>
              <w:t>X</w:t>
            </w:r>
          </w:p>
        </w:tc>
        <w:tc>
          <w:tcPr>
            <w:tcW w:w="3203" w:type="dxa"/>
          </w:tcPr>
          <w:p w:rsidR="008761CE" w:rsidRPr="008761CE" w:rsidRDefault="008761CE">
            <w:pPr>
              <w:rPr>
                <w:sz w:val="20"/>
                <w:szCs w:val="20"/>
              </w:rPr>
            </w:pPr>
            <w:r w:rsidRPr="008761CE">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8761CE" w:rsidP="00BA14E6">
            <w:pPr>
              <w:rPr>
                <w:sz w:val="20"/>
                <w:szCs w:val="20"/>
              </w:rPr>
            </w:pPr>
            <w:r>
              <w:rPr>
                <w:sz w:val="20"/>
                <w:szCs w:val="20"/>
              </w:rPr>
              <w:t>Revisado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8761CE"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A06BF1" w:rsidP="00C26ADC">
            <w:pPr>
              <w:jc w:val="center"/>
              <w:rPr>
                <w:b/>
                <w:sz w:val="20"/>
                <w:szCs w:val="20"/>
              </w:rPr>
            </w:pPr>
            <w:r>
              <w:rPr>
                <w:b/>
                <w:sz w:val="20"/>
                <w:szCs w:val="20"/>
              </w:rPr>
              <w:t>10</w:t>
            </w:r>
          </w:p>
        </w:tc>
        <w:tc>
          <w:tcPr>
            <w:tcW w:w="3203" w:type="dxa"/>
          </w:tcPr>
          <w:p w:rsidR="001C7D84" w:rsidRPr="001C7D84" w:rsidRDefault="001C7D84" w:rsidP="00AC4A6F">
            <w:pPr>
              <w:rPr>
                <w:b/>
                <w:sz w:val="20"/>
                <w:szCs w:val="20"/>
              </w:rPr>
            </w:pPr>
          </w:p>
        </w:tc>
      </w:tr>
    </w:tbl>
    <w:p w:rsidR="003A1694" w:rsidRDefault="003A1694" w:rsidP="00AC4A6F"/>
    <w:p w:rsidR="00FA5AFD" w:rsidRDefault="008761CE" w:rsidP="00AC4A6F">
      <w:r>
        <w:t xml:space="preserve">El GCCGE, ha aplicado el 20% de las recomendaciones efectuadas.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bookmarkStart w:id="0" w:name="_GoBack"/>
      <w:bookmarkEnd w:id="0"/>
    </w:p>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309B" w:rsidRPr="00F31BC3" w:rsidRDefault="001F309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F309B" w:rsidRPr="00F31BC3" w:rsidRDefault="001F309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D344C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1F309B" w:rsidRPr="006D4C90" w:rsidTr="00CC48E8">
        <w:trPr>
          <w:trHeight w:val="315"/>
        </w:trPr>
        <w:tc>
          <w:tcPr>
            <w:tcW w:w="2151" w:type="pct"/>
            <w:tcBorders>
              <w:left w:val="nil"/>
              <w:bottom w:val="nil"/>
              <w:right w:val="nil"/>
            </w:tcBorders>
            <w:shd w:val="clear" w:color="auto" w:fill="F5FDFA"/>
            <w:noWrap/>
            <w:hideMark/>
          </w:tcPr>
          <w:p w:rsidR="001F309B" w:rsidRPr="006D4C90" w:rsidRDefault="001F309B"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398"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458"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292"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292"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292"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66,7</w:t>
            </w:r>
          </w:p>
        </w:tc>
        <w:tc>
          <w:tcPr>
            <w:tcW w:w="298"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16,7</w:t>
            </w:r>
          </w:p>
        </w:tc>
        <w:tc>
          <w:tcPr>
            <w:tcW w:w="354" w:type="pct"/>
            <w:tcBorders>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59,5</w:t>
            </w:r>
          </w:p>
        </w:tc>
      </w:tr>
      <w:tr w:rsidR="001F309B" w:rsidRPr="006D4C90" w:rsidTr="00FA5AFD">
        <w:trPr>
          <w:trHeight w:val="315"/>
        </w:trPr>
        <w:tc>
          <w:tcPr>
            <w:tcW w:w="2151" w:type="pct"/>
            <w:tcBorders>
              <w:top w:val="nil"/>
              <w:left w:val="nil"/>
              <w:bottom w:val="nil"/>
              <w:right w:val="nil"/>
            </w:tcBorders>
            <w:shd w:val="clear" w:color="auto" w:fill="F5FDFA"/>
            <w:noWrap/>
            <w:hideMark/>
          </w:tcPr>
          <w:p w:rsidR="001F309B" w:rsidRPr="006D4C90" w:rsidRDefault="001F309B"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398"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458"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292"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292"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292"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50,0</w:t>
            </w:r>
          </w:p>
        </w:tc>
        <w:tc>
          <w:tcPr>
            <w:tcW w:w="298"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0,0</w:t>
            </w:r>
          </w:p>
        </w:tc>
        <w:tc>
          <w:tcPr>
            <w:tcW w:w="354" w:type="pct"/>
            <w:tcBorders>
              <w:top w:val="nil"/>
              <w:left w:val="nil"/>
              <w:bottom w:val="nil"/>
              <w:right w:val="nil"/>
            </w:tcBorders>
            <w:shd w:val="clear" w:color="auto" w:fill="F5FDFA"/>
            <w:noWrap/>
          </w:tcPr>
          <w:p w:rsidR="001F309B" w:rsidRPr="001F309B" w:rsidRDefault="001F309B" w:rsidP="001F309B">
            <w:pPr>
              <w:jc w:val="center"/>
              <w:rPr>
                <w:sz w:val="16"/>
                <w:szCs w:val="16"/>
              </w:rPr>
            </w:pPr>
            <w:r w:rsidRPr="001F309B">
              <w:rPr>
                <w:sz w:val="16"/>
                <w:szCs w:val="16"/>
              </w:rPr>
              <w:t>42,9</w:t>
            </w:r>
          </w:p>
        </w:tc>
      </w:tr>
      <w:tr w:rsidR="001F309B" w:rsidRPr="006D4C90" w:rsidTr="00E17DF6">
        <w:trPr>
          <w:trHeight w:val="315"/>
        </w:trPr>
        <w:tc>
          <w:tcPr>
            <w:tcW w:w="2151" w:type="pct"/>
            <w:tcBorders>
              <w:top w:val="nil"/>
              <w:left w:val="nil"/>
              <w:bottom w:val="nil"/>
              <w:right w:val="nil"/>
            </w:tcBorders>
            <w:shd w:val="clear" w:color="auto" w:fill="65AD82"/>
            <w:noWrap/>
            <w:hideMark/>
          </w:tcPr>
          <w:p w:rsidR="001F309B" w:rsidRPr="006D4C90" w:rsidRDefault="001F309B"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39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45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57,1</w:t>
            </w:r>
          </w:p>
        </w:tc>
        <w:tc>
          <w:tcPr>
            <w:tcW w:w="29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7,1</w:t>
            </w:r>
          </w:p>
        </w:tc>
        <w:tc>
          <w:tcPr>
            <w:tcW w:w="354"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sz w:val="16"/>
                <w:szCs w:val="16"/>
              </w:rPr>
            </w:pPr>
            <w:r w:rsidRPr="001F309B">
              <w:rPr>
                <w:b/>
                <w:color w:val="FFFFFF" w:themeColor="background1"/>
                <w:sz w:val="16"/>
                <w:szCs w:val="16"/>
              </w:rPr>
              <w:t>50,0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1F309B" w:rsidRPr="006D4C90" w:rsidTr="00FA5AFD">
        <w:trPr>
          <w:trHeight w:val="315"/>
        </w:trPr>
        <w:tc>
          <w:tcPr>
            <w:tcW w:w="2151" w:type="pct"/>
            <w:tcBorders>
              <w:top w:val="nil"/>
              <w:left w:val="nil"/>
              <w:bottom w:val="nil"/>
              <w:right w:val="nil"/>
            </w:tcBorders>
            <w:shd w:val="clear" w:color="auto" w:fill="F5FDFA"/>
            <w:noWrap/>
            <w:hideMark/>
          </w:tcPr>
          <w:p w:rsidR="001F309B" w:rsidRPr="006D4C90" w:rsidRDefault="001F309B" w:rsidP="00CC48E8">
            <w:pPr>
              <w:rPr>
                <w:rFonts w:eastAsia="Times New Roman" w:cs="Arial"/>
                <w:sz w:val="18"/>
                <w:szCs w:val="18"/>
                <w:lang w:eastAsia="es-ES"/>
              </w:rPr>
            </w:pPr>
            <w:bookmarkStart w:id="1" w:name="RANGE!C12"/>
            <w:r w:rsidRPr="006D4C90">
              <w:rPr>
                <w:rFonts w:eastAsia="Times New Roman" w:cs="Arial"/>
                <w:sz w:val="18"/>
                <w:szCs w:val="18"/>
                <w:lang w:eastAsia="es-ES"/>
              </w:rPr>
              <w:t>Contratos</w:t>
            </w:r>
            <w:bookmarkEnd w:id="1"/>
          </w:p>
        </w:tc>
        <w:tc>
          <w:tcPr>
            <w:tcW w:w="465" w:type="pct"/>
            <w:tcBorders>
              <w:top w:val="nil"/>
              <w:left w:val="nil"/>
              <w:bottom w:val="nil"/>
              <w:right w:val="nil"/>
            </w:tcBorders>
            <w:shd w:val="clear" w:color="auto" w:fill="F5FDFA"/>
            <w:noWrap/>
          </w:tcPr>
          <w:p w:rsidR="001F309B" w:rsidRPr="006D4C90" w:rsidRDefault="001F309B" w:rsidP="001F309B">
            <w:pPr>
              <w:jc w:val="center"/>
              <w:rPr>
                <w:sz w:val="18"/>
                <w:szCs w:val="18"/>
              </w:rPr>
            </w:pPr>
            <w:r>
              <w:rPr>
                <w:sz w:val="18"/>
                <w:szCs w:val="18"/>
              </w:rPr>
              <w:t>0,0</w:t>
            </w:r>
          </w:p>
        </w:tc>
        <w:tc>
          <w:tcPr>
            <w:tcW w:w="398"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458"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298"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c>
          <w:tcPr>
            <w:tcW w:w="354" w:type="pct"/>
            <w:tcBorders>
              <w:top w:val="nil"/>
              <w:left w:val="nil"/>
              <w:bottom w:val="nil"/>
              <w:right w:val="nil"/>
            </w:tcBorders>
            <w:shd w:val="clear" w:color="auto" w:fill="F5FDFA"/>
            <w:noWrap/>
          </w:tcPr>
          <w:p w:rsidR="001F309B" w:rsidRDefault="001F309B" w:rsidP="001F309B">
            <w:pPr>
              <w:jc w:val="center"/>
            </w:pPr>
            <w:r w:rsidRPr="00F8490B">
              <w:rPr>
                <w:sz w:val="18"/>
                <w:szCs w:val="18"/>
              </w:rPr>
              <w:t>0,0</w:t>
            </w:r>
          </w:p>
        </w:tc>
      </w:tr>
      <w:tr w:rsidR="001F309B" w:rsidRPr="006D4C90" w:rsidTr="00FA5AFD">
        <w:trPr>
          <w:trHeight w:val="315"/>
        </w:trPr>
        <w:tc>
          <w:tcPr>
            <w:tcW w:w="2151" w:type="pct"/>
            <w:tcBorders>
              <w:top w:val="nil"/>
              <w:left w:val="nil"/>
              <w:bottom w:val="nil"/>
              <w:right w:val="nil"/>
            </w:tcBorders>
            <w:shd w:val="clear" w:color="auto" w:fill="F5FDFA"/>
            <w:noWrap/>
            <w:hideMark/>
          </w:tcPr>
          <w:p w:rsidR="001F309B" w:rsidRPr="006D4C90" w:rsidRDefault="001F309B"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39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45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354"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r>
      <w:tr w:rsidR="001F309B" w:rsidRPr="006D4C90" w:rsidTr="00FA5AFD">
        <w:trPr>
          <w:trHeight w:val="315"/>
        </w:trPr>
        <w:tc>
          <w:tcPr>
            <w:tcW w:w="2151" w:type="pct"/>
            <w:tcBorders>
              <w:top w:val="nil"/>
              <w:left w:val="nil"/>
              <w:bottom w:val="nil"/>
              <w:right w:val="nil"/>
            </w:tcBorders>
            <w:shd w:val="clear" w:color="auto" w:fill="F5FDFA"/>
            <w:noWrap/>
          </w:tcPr>
          <w:p w:rsidR="001F309B" w:rsidRPr="006D4C90" w:rsidRDefault="001F309B" w:rsidP="00CC48E8">
            <w:pPr>
              <w:rPr>
                <w:rFonts w:eastAsia="Times New Roman" w:cs="Arial"/>
                <w:sz w:val="18"/>
                <w:szCs w:val="18"/>
                <w:lang w:eastAsia="es-ES"/>
              </w:rPr>
            </w:pPr>
            <w:r w:rsidRPr="001F309B">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39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45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2"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298"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c>
          <w:tcPr>
            <w:tcW w:w="354" w:type="pct"/>
            <w:tcBorders>
              <w:top w:val="nil"/>
              <w:left w:val="nil"/>
              <w:bottom w:val="nil"/>
              <w:right w:val="nil"/>
            </w:tcBorders>
            <w:shd w:val="clear" w:color="auto" w:fill="F5FDFA"/>
            <w:noWrap/>
          </w:tcPr>
          <w:p w:rsidR="001F309B" w:rsidRDefault="001F309B" w:rsidP="001F309B">
            <w:pPr>
              <w:jc w:val="center"/>
            </w:pPr>
            <w:r w:rsidRPr="00944191">
              <w:rPr>
                <w:sz w:val="18"/>
                <w:szCs w:val="18"/>
              </w:rPr>
              <w:t>0,0</w:t>
            </w:r>
          </w:p>
        </w:tc>
      </w:tr>
      <w:tr w:rsidR="001F309B" w:rsidRPr="006D4C90" w:rsidTr="00E17DF6">
        <w:trPr>
          <w:trHeight w:val="315"/>
        </w:trPr>
        <w:tc>
          <w:tcPr>
            <w:tcW w:w="2151" w:type="pct"/>
            <w:tcBorders>
              <w:top w:val="nil"/>
              <w:left w:val="nil"/>
              <w:bottom w:val="nil"/>
              <w:right w:val="nil"/>
            </w:tcBorders>
            <w:shd w:val="clear" w:color="auto" w:fill="65AD82"/>
            <w:noWrap/>
            <w:hideMark/>
          </w:tcPr>
          <w:p w:rsidR="001F309B" w:rsidRPr="006D4C90" w:rsidRDefault="001F309B"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39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45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292"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298"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c>
          <w:tcPr>
            <w:tcW w:w="354" w:type="pct"/>
            <w:tcBorders>
              <w:top w:val="nil"/>
              <w:left w:val="nil"/>
              <w:bottom w:val="nil"/>
              <w:right w:val="nil"/>
            </w:tcBorders>
            <w:shd w:val="clear" w:color="auto" w:fill="65AD82"/>
            <w:noWrap/>
          </w:tcPr>
          <w:p w:rsidR="001F309B" w:rsidRPr="001F309B" w:rsidRDefault="001F309B" w:rsidP="001F309B">
            <w:pPr>
              <w:jc w:val="center"/>
              <w:rPr>
                <w:b/>
                <w:color w:val="FFFFFF" w:themeColor="background1"/>
              </w:rPr>
            </w:pPr>
            <w:r w:rsidRPr="001F309B">
              <w:rPr>
                <w:b/>
                <w:color w:val="FFFFFF" w:themeColor="background1"/>
                <w:sz w:val="18"/>
                <w:szCs w:val="18"/>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1F309B" w:rsidP="00BA3611">
            <w:pPr>
              <w:jc w:val="right"/>
              <w:rPr>
                <w:rFonts w:eastAsia="Times New Roman" w:cs="Arial"/>
                <w:b/>
                <w:sz w:val="18"/>
                <w:szCs w:val="18"/>
                <w:lang w:eastAsia="es-ES"/>
              </w:rPr>
            </w:pPr>
            <w:r>
              <w:rPr>
                <w:rFonts w:eastAsia="Times New Roman" w:cs="Arial"/>
                <w:b/>
                <w:sz w:val="18"/>
                <w:szCs w:val="18"/>
                <w:lang w:eastAsia="es-ES"/>
              </w:rPr>
              <w:t>26,9</w:t>
            </w:r>
          </w:p>
        </w:tc>
      </w:tr>
    </w:tbl>
    <w:p w:rsidR="00FA5AFD" w:rsidRDefault="00FA5AFD" w:rsidP="00F05E2C">
      <w:pPr>
        <w:pStyle w:val="Cuerpodelboletn"/>
        <w:rPr>
          <w:lang w:bidi="es-ES"/>
        </w:rPr>
      </w:pPr>
    </w:p>
    <w:p w:rsidR="00714C54" w:rsidRDefault="00714C54" w:rsidP="00F05E2C">
      <w:pPr>
        <w:pStyle w:val="Cuerpodelboletn"/>
      </w:pPr>
    </w:p>
    <w:p w:rsidR="001F309B" w:rsidRDefault="001F309B" w:rsidP="001F309B">
      <w:pPr>
        <w:pStyle w:val="Cuerpodelboletn"/>
        <w:rPr>
          <w:lang w:bidi="es-ES"/>
        </w:rPr>
      </w:pPr>
      <w:r>
        <w:rPr>
          <w:lang w:bidi="es-ES"/>
        </w:rPr>
        <w:t xml:space="preserve">El Índice de Cumplimiento de la Información Obligatoria (ICIO) alcanza un 26,9%. La falta de publicación de contenidos obligatorios – solo se publica el 30,8% - y de referencias a la última fecha en que se revisó o actualizó la información, explican el nivel de cumplimiento obtenido. </w:t>
      </w:r>
    </w:p>
    <w:p w:rsidR="001F309B" w:rsidRDefault="001F309B" w:rsidP="001F309B">
      <w:pPr>
        <w:pStyle w:val="Cuerpodelboletn"/>
      </w:pPr>
      <w:r>
        <w:rPr>
          <w:lang w:bidi="es-ES"/>
        </w:rPr>
        <w:t xml:space="preserve">Respecto de 2020, el ICIO aumenta en </w:t>
      </w:r>
      <w:r w:rsidR="003306AF">
        <w:rPr>
          <w:lang w:bidi="es-ES"/>
        </w:rPr>
        <w:t>8,8</w:t>
      </w:r>
      <w:r>
        <w:rPr>
          <w:lang w:bidi="es-ES"/>
        </w:rPr>
        <w:t xml:space="preserve"> puntos porcentuales lo que es </w:t>
      </w:r>
      <w:r w:rsidR="003306AF">
        <w:rPr>
          <w:lang w:bidi="es-ES"/>
        </w:rPr>
        <w:t>en gran medida</w:t>
      </w:r>
      <w:r>
        <w:rPr>
          <w:lang w:bidi="es-ES"/>
        </w:rPr>
        <w:t xml:space="preserve"> atribuible a la revisión de oficio realizada respecto del cumplimiento del criterio de reutilización.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3306AF" w:rsidRDefault="003306AF" w:rsidP="003306AF">
      <w:pPr>
        <w:pStyle w:val="Cuerpodelboletn"/>
      </w:pPr>
      <w:r>
        <w:t xml:space="preserve">Este CTBG no puede menos que </w:t>
      </w:r>
      <w:r w:rsidRPr="00400F39">
        <w:rPr>
          <w:b/>
        </w:rPr>
        <w:t>valorar negativamente</w:t>
      </w:r>
      <w:r>
        <w:t xml:space="preserve"> la evolución del cumplimiento de las obligaciones de publicidad activa por parte del GCCGE. </w:t>
      </w:r>
      <w:r>
        <w:t>Se</w:t>
      </w:r>
      <w:r>
        <w:t xml:space="preserve"> ha aplicado </w:t>
      </w:r>
      <w:r>
        <w:t>un 20%</w:t>
      </w:r>
      <w:r>
        <w:t xml:space="preserve"> de las recomendaciones efectuadas como consecuencia de la evaluación realizada en 2020</w:t>
      </w:r>
      <w:r>
        <w:t>, un 10% si se tiene en cuenta que la revisión de la valoración del criterio de reutilización se ha realizado de oficio por parte de este Consejo</w:t>
      </w:r>
      <w:r>
        <w:t>.</w:t>
      </w:r>
    </w:p>
    <w:p w:rsidR="003306AF" w:rsidRDefault="003306AF" w:rsidP="003306AF">
      <w:pPr>
        <w:pStyle w:val="Cuerpodelboletn"/>
      </w:pPr>
      <w:r w:rsidRPr="003306AF">
        <w:lastRenderedPageBreak/>
        <mc:AlternateContent>
          <mc:Choice Requires="wps">
            <w:drawing>
              <wp:anchor distT="0" distB="0" distL="114300" distR="114300" simplePos="0" relativeHeight="251726848" behindDoc="0" locked="0" layoutInCell="1" allowOverlap="1" wp14:anchorId="3914CE83" wp14:editId="6E4350A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306AF" w:rsidRPr="00F31BC3" w:rsidRDefault="003306AF" w:rsidP="003306AF">
                            <w:r w:rsidRPr="00965C69">
                              <w:rPr>
                                <w:noProof/>
                                <w:lang w:eastAsia="es-ES"/>
                              </w:rPr>
                              <w:drawing>
                                <wp:inline distT="0" distB="0" distL="0" distR="0" wp14:anchorId="2A43657E" wp14:editId="7699632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6gfq4DwIA&#10;AAkEAAAOAAAAAAAAAAAAAAAAAC4CAABkcnMvZTJvRG9jLnhtbFBLAQItABQABgAIAAAAIQAi76BT&#10;3AAAAAcBAAAPAAAAAAAAAAAAAAAAAGkEAABkcnMvZG93bnJldi54bWxQSwUGAAAAAAQABADzAAAA&#10;cgUAAAAA&#10;" fillcolor="#50866c" stroked="f">
                <v:textbox inset=",7.2pt,,7.2pt">
                  <w:txbxContent>
                    <w:p w:rsidR="003306AF" w:rsidRPr="00F31BC3" w:rsidRDefault="003306AF" w:rsidP="003306AF">
                      <w:r w:rsidRPr="00965C69">
                        <w:rPr>
                          <w:noProof/>
                          <w:lang w:eastAsia="es-ES"/>
                        </w:rPr>
                        <w:drawing>
                          <wp:inline distT="0" distB="0" distL="0" distR="0" wp14:anchorId="2A43657E" wp14:editId="7699632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3306AF">
        <mc:AlternateContent>
          <mc:Choice Requires="wps">
            <w:drawing>
              <wp:anchor distT="0" distB="0" distL="114300" distR="114300" simplePos="0" relativeHeight="251727872" behindDoc="0" locked="0" layoutInCell="1" allowOverlap="1" wp14:anchorId="55D26A03" wp14:editId="0439D10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3306AF" w:rsidRDefault="003306AF" w:rsidP="003306AF">
      <w:pPr>
        <w:pStyle w:val="Cuerpodelboletn"/>
      </w:pPr>
    </w:p>
    <w:p w:rsidR="003306AF" w:rsidRDefault="003306AF" w:rsidP="003306AF">
      <w:pPr>
        <w:pStyle w:val="Cuerpodelboletn"/>
      </w:pPr>
      <w:r>
        <w:t xml:space="preserve">Como consecuencia de esto persisten los déficits evidenciados en dicha evaluación: </w:t>
      </w:r>
    </w:p>
    <w:p w:rsidR="003306AF" w:rsidRDefault="003306AF" w:rsidP="003306AF">
      <w:pPr>
        <w:pStyle w:val="Cuerpodelboletn"/>
        <w:numPr>
          <w:ilvl w:val="0"/>
          <w:numId w:val="18"/>
        </w:numPr>
      </w:pPr>
      <w:r>
        <w:t xml:space="preserve">Se publica un </w:t>
      </w:r>
      <w:r>
        <w:t>30,8</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3306AF" w:rsidRDefault="003306AF" w:rsidP="003306AF">
      <w:pPr>
        <w:pStyle w:val="Cuerpodelboletn"/>
        <w:numPr>
          <w:ilvl w:val="0"/>
          <w:numId w:val="18"/>
        </w:numPr>
      </w:pPr>
      <w:r>
        <w:t>No existe ninguna referencia que permita conocer si la información está actualizada.</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3306AF" w:rsidP="00C61E7F">
      <w:pPr>
        <w:pStyle w:val="Sinespaciado"/>
        <w:spacing w:line="276" w:lineRule="auto"/>
        <w:jc w:val="both"/>
        <w:rPr>
          <w:rFonts w:ascii="Century Gothic" w:hAnsi="Century Gothic"/>
        </w:rPr>
      </w:pPr>
      <w:r>
        <w:rPr>
          <w:rFonts w:ascii="Century Gothic" w:hAnsi="Century Gothic"/>
        </w:rPr>
        <w:lastRenderedPageBreak/>
        <w:t>Madrid, junio de 2021</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3306AF" w:rsidRDefault="003306AF">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309B" w:rsidRPr="00F31BC3" w:rsidRDefault="001F309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1F309B" w:rsidRPr="00F31BC3" w:rsidRDefault="001F309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309B" w:rsidRPr="00F31BC3" w:rsidRDefault="001F309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1F309B" w:rsidRPr="00F31BC3" w:rsidRDefault="001F309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9B" w:rsidRDefault="001F309B" w:rsidP="00F31BC3">
      <w:r>
        <w:separator/>
      </w:r>
    </w:p>
  </w:endnote>
  <w:endnote w:type="continuationSeparator" w:id="0">
    <w:p w:rsidR="001F309B" w:rsidRDefault="001F309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9B" w:rsidRDefault="001F309B" w:rsidP="00F31BC3">
      <w:r>
        <w:separator/>
      </w:r>
    </w:p>
  </w:footnote>
  <w:footnote w:type="continuationSeparator" w:id="0">
    <w:p w:rsidR="001F309B" w:rsidRDefault="001F309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1F309B"/>
    <w:rsid w:val="0021682B"/>
    <w:rsid w:val="00231D61"/>
    <w:rsid w:val="00243294"/>
    <w:rsid w:val="00244EDA"/>
    <w:rsid w:val="002467FA"/>
    <w:rsid w:val="00263F79"/>
    <w:rsid w:val="002D0702"/>
    <w:rsid w:val="002D27E4"/>
    <w:rsid w:val="002E409F"/>
    <w:rsid w:val="002F06DC"/>
    <w:rsid w:val="0031769F"/>
    <w:rsid w:val="003306A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3D20"/>
    <w:rsid w:val="00807495"/>
    <w:rsid w:val="00821526"/>
    <w:rsid w:val="0082470D"/>
    <w:rsid w:val="00825ACB"/>
    <w:rsid w:val="008761CE"/>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344CA"/>
    <w:rsid w:val="00D41F4C"/>
    <w:rsid w:val="00D45F5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5B26B0"/>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purl.org/dc/dcmitype/"/>
    <ds:schemaRef ds:uri="http://purl.org/dc/terms/"/>
    <ds:schemaRef ds:uri="4873beb7-5857-4685-be1f-d57550cc96cc"/>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7FC6CBE-97EB-41A9-9A2B-A2B1DBDF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41</TotalTime>
  <Pages>5</Pages>
  <Words>785</Words>
  <Characters>4321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2021-01-22T08:49:00Z</dcterms:created>
  <dcterms:modified xsi:type="dcterms:W3CDTF">2021-06-09T09:15:00Z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