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5022EF">
      <w:r>
        <w:rPr>
          <w:rFonts w:ascii="Lucida Grande" w:eastAsia="Lucida Grande" w:hAnsi="Lucida Grande" w:cs="Lucida Grande"/>
          <w:noProof/>
          <w:color w:val="000000"/>
          <w:szCs w:val="22"/>
          <w:lang w:eastAsia="es-ES"/>
        </w:rPr>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EndPr/>
                  <w:sdtContent>
                    <w:p w:rsidR="00D9090A" w:rsidRDefault="00D9090A"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00582A8C" w:rsidRPr="00582A8C">
                        <w:rPr>
                          <w:rFonts w:ascii="Century Gothic" w:hAnsi="Century Gothic"/>
                          <w:sz w:val="40"/>
                          <w:szCs w:val="40"/>
                          <w:lang w:bidi="es-ES"/>
                        </w:rPr>
                        <w:t xml:space="preserve">Consejo </w:t>
                      </w:r>
                      <w:r w:rsidR="00CB6837">
                        <w:rPr>
                          <w:rFonts w:ascii="Century Gothic" w:hAnsi="Century Gothic"/>
                          <w:sz w:val="40"/>
                          <w:szCs w:val="40"/>
                          <w:lang w:bidi="es-ES"/>
                        </w:rPr>
                        <w:t>General</w:t>
                      </w:r>
                      <w:r w:rsidR="00582A8C" w:rsidRPr="00582A8C">
                        <w:rPr>
                          <w:rFonts w:ascii="Century Gothic" w:hAnsi="Century Gothic"/>
                          <w:sz w:val="40"/>
                          <w:szCs w:val="40"/>
                          <w:lang w:bidi="es-ES"/>
                        </w:rPr>
                        <w:t xml:space="preserve"> de </w:t>
                      </w:r>
                      <w:r w:rsidR="00D45F5C" w:rsidRPr="00D45F5C">
                        <w:rPr>
                          <w:rFonts w:ascii="Century Gothic" w:hAnsi="Century Gothic"/>
                          <w:sz w:val="40"/>
                          <w:szCs w:val="40"/>
                          <w:lang w:bidi="es-ES"/>
                        </w:rPr>
                        <w:t xml:space="preserve">Colegios </w:t>
                      </w:r>
                      <w:r w:rsidR="00707515" w:rsidRPr="00707515">
                        <w:rPr>
                          <w:rFonts w:ascii="Century Gothic" w:hAnsi="Century Gothic"/>
                          <w:sz w:val="40"/>
                          <w:szCs w:val="40"/>
                          <w:lang w:bidi="es-ES"/>
                        </w:rPr>
                        <w:t>de Habilitados de Clases Pasivas</w:t>
                      </w:r>
                    </w:p>
                  </w:sdtContent>
                </w:sdt>
              </w:txbxContent>
            </v:textbox>
          </v:shape>
        </w:pict>
      </w:r>
      <w:r>
        <w:rPr>
          <w:noProof/>
          <w:lang w:eastAsia="es-ES"/>
        </w:rPr>
        <w:pict>
          <v:rect id="Rectángulo 6" o:spid="_x0000_s1027" style="position:absolute;margin-left:-14.2pt;margin-top:-9.2pt;width:630pt;height:236.0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C02953" w:rsidRDefault="00C02953" w:rsidP="00006957">
                  <w:pPr>
                    <w:pStyle w:val="Ttulo2"/>
                    <w:tabs>
                      <w:tab w:val="left" w:pos="142"/>
                    </w:tabs>
                    <w:ind w:left="567"/>
                  </w:pPr>
                  <w:r>
                    <w:rPr>
                      <w:noProof/>
                      <w:lang w:eastAsia="es-ES"/>
                    </w:rPr>
                    <w:drawing>
                      <wp:inline distT="0" distB="0" distL="0" distR="0">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5022EF" w:rsidP="0082470D">
      <w:pPr>
        <w:rPr>
          <w:rFonts w:ascii="Arial" w:hAnsi="Arial"/>
          <w:b/>
          <w:sz w:val="36"/>
        </w:rPr>
      </w:pPr>
      <w:r>
        <w:rPr>
          <w:noProof/>
          <w:lang w:eastAsia="es-ES"/>
        </w:rPr>
        <w:pict>
          <v:rect id="Rectángulo 7" o:spid="_x0000_s1035" style="position:absolute;margin-left:-14.25pt;margin-top:207.75pt;width:630pt;height:19.3pt;z-index:251652096;visibility:visible;mso-position-horizontal-relative:page;mso-position-vertical-relative:page" wrapcoords="-26 0 -26 20769 21600 20769 21600 0 -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5022EF"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800B69" w:rsidP="00183301">
            <w:pPr>
              <w:jc w:val="center"/>
              <w:rPr>
                <w:sz w:val="20"/>
                <w:szCs w:val="20"/>
              </w:rPr>
            </w:pPr>
            <w:r>
              <w:rPr>
                <w:sz w:val="20"/>
                <w:szCs w:val="20"/>
              </w:rPr>
              <w:t>X</w:t>
            </w:r>
          </w:p>
        </w:tc>
        <w:tc>
          <w:tcPr>
            <w:tcW w:w="3203" w:type="dxa"/>
          </w:tcPr>
          <w:p w:rsidR="00183301" w:rsidRPr="007942B7" w:rsidRDefault="00B90484" w:rsidP="007942B7">
            <w:pPr>
              <w:rPr>
                <w:sz w:val="20"/>
                <w:szCs w:val="20"/>
              </w:rPr>
            </w:pPr>
            <w:r>
              <w:rPr>
                <w:sz w:val="20"/>
                <w:szCs w:val="20"/>
              </w:rPr>
              <w:t>Si</w:t>
            </w: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800B69" w:rsidP="00183301">
            <w:pPr>
              <w:jc w:val="center"/>
              <w:rPr>
                <w:sz w:val="20"/>
                <w:szCs w:val="20"/>
              </w:rPr>
            </w:pPr>
            <w:r>
              <w:rPr>
                <w:sz w:val="20"/>
                <w:szCs w:val="20"/>
              </w:rPr>
              <w:t>X</w:t>
            </w:r>
          </w:p>
        </w:tc>
        <w:tc>
          <w:tcPr>
            <w:tcW w:w="3203" w:type="dxa"/>
          </w:tcPr>
          <w:p w:rsidR="00183301" w:rsidRPr="007942B7" w:rsidRDefault="00B90484" w:rsidP="00A1361E">
            <w:pPr>
              <w:rPr>
                <w:sz w:val="20"/>
                <w:szCs w:val="20"/>
              </w:rPr>
            </w:pPr>
            <w:r>
              <w:rPr>
                <w:sz w:val="20"/>
                <w:szCs w:val="20"/>
              </w:rPr>
              <w:t>Si</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800B69" w:rsidRPr="007942B7" w:rsidTr="00870F9D">
        <w:tc>
          <w:tcPr>
            <w:tcW w:w="2093" w:type="dxa"/>
            <w:vMerge w:val="restart"/>
            <w:vAlign w:val="center"/>
          </w:tcPr>
          <w:p w:rsidR="00800B69" w:rsidRPr="00C3228C" w:rsidRDefault="00800B69" w:rsidP="006D4C90">
            <w:pPr>
              <w:rPr>
                <w:sz w:val="20"/>
                <w:szCs w:val="20"/>
              </w:rPr>
            </w:pPr>
            <w:r w:rsidRPr="00C3228C">
              <w:rPr>
                <w:sz w:val="20"/>
                <w:szCs w:val="20"/>
              </w:rPr>
              <w:t>Publicación de Contenidos</w:t>
            </w:r>
          </w:p>
        </w:tc>
        <w:tc>
          <w:tcPr>
            <w:tcW w:w="4819" w:type="dxa"/>
          </w:tcPr>
          <w:p w:rsidR="00800B69" w:rsidRDefault="00800B69" w:rsidP="00E83650">
            <w:pPr>
              <w:rPr>
                <w:sz w:val="20"/>
                <w:szCs w:val="20"/>
              </w:rPr>
            </w:pPr>
            <w:r>
              <w:rPr>
                <w:sz w:val="20"/>
                <w:szCs w:val="20"/>
              </w:rPr>
              <w:t>Funciones</w:t>
            </w:r>
          </w:p>
        </w:tc>
        <w:tc>
          <w:tcPr>
            <w:tcW w:w="567" w:type="dxa"/>
          </w:tcPr>
          <w:p w:rsidR="00800B69" w:rsidRPr="00800B69" w:rsidRDefault="00800B69" w:rsidP="00800B69">
            <w:pPr>
              <w:jc w:val="center"/>
              <w:rPr>
                <w:sz w:val="20"/>
                <w:szCs w:val="20"/>
              </w:rPr>
            </w:pPr>
            <w:r w:rsidRPr="00800B69">
              <w:rPr>
                <w:sz w:val="20"/>
                <w:szCs w:val="20"/>
              </w:rPr>
              <w:t>X</w:t>
            </w:r>
          </w:p>
        </w:tc>
        <w:tc>
          <w:tcPr>
            <w:tcW w:w="3203" w:type="dxa"/>
          </w:tcPr>
          <w:p w:rsidR="00800B69" w:rsidRPr="007942B7" w:rsidRDefault="00B90484" w:rsidP="00AC4A6F">
            <w:pPr>
              <w:rPr>
                <w:sz w:val="20"/>
                <w:szCs w:val="20"/>
              </w:rPr>
            </w:pPr>
            <w:r>
              <w:rPr>
                <w:sz w:val="20"/>
                <w:szCs w:val="20"/>
              </w:rPr>
              <w:t>Si</w:t>
            </w:r>
          </w:p>
        </w:tc>
      </w:tr>
      <w:tr w:rsidR="00800B69" w:rsidRPr="007942B7" w:rsidTr="00870F9D">
        <w:tc>
          <w:tcPr>
            <w:tcW w:w="2093" w:type="dxa"/>
            <w:vMerge/>
            <w:vAlign w:val="center"/>
          </w:tcPr>
          <w:p w:rsidR="00800B69" w:rsidRPr="00C3228C" w:rsidRDefault="00800B69" w:rsidP="006D4C90">
            <w:pPr>
              <w:rPr>
                <w:sz w:val="20"/>
                <w:szCs w:val="20"/>
              </w:rPr>
            </w:pPr>
          </w:p>
        </w:tc>
        <w:tc>
          <w:tcPr>
            <w:tcW w:w="4819" w:type="dxa"/>
          </w:tcPr>
          <w:p w:rsidR="00800B69" w:rsidRDefault="00800B69" w:rsidP="00E83650">
            <w:pPr>
              <w:rPr>
                <w:sz w:val="20"/>
                <w:szCs w:val="20"/>
              </w:rPr>
            </w:pPr>
            <w:r>
              <w:rPr>
                <w:sz w:val="20"/>
                <w:szCs w:val="20"/>
              </w:rPr>
              <w:t>Normativa general aplicable a los Colegios Profesionales</w:t>
            </w:r>
          </w:p>
        </w:tc>
        <w:tc>
          <w:tcPr>
            <w:tcW w:w="567" w:type="dxa"/>
          </w:tcPr>
          <w:p w:rsidR="00800B69" w:rsidRPr="00800B69" w:rsidRDefault="00800B69" w:rsidP="00800B69">
            <w:pPr>
              <w:jc w:val="center"/>
              <w:rPr>
                <w:sz w:val="20"/>
                <w:szCs w:val="20"/>
              </w:rPr>
            </w:pPr>
            <w:r w:rsidRPr="00800B69">
              <w:rPr>
                <w:sz w:val="20"/>
                <w:szCs w:val="20"/>
              </w:rPr>
              <w:t>X</w:t>
            </w:r>
          </w:p>
        </w:tc>
        <w:tc>
          <w:tcPr>
            <w:tcW w:w="3203" w:type="dxa"/>
          </w:tcPr>
          <w:p w:rsidR="00800B69" w:rsidRPr="007942B7" w:rsidRDefault="00B90484" w:rsidP="00B90484">
            <w:pPr>
              <w:rPr>
                <w:sz w:val="20"/>
                <w:szCs w:val="20"/>
              </w:rPr>
            </w:pPr>
            <w:r>
              <w:rPr>
                <w:sz w:val="20"/>
                <w:szCs w:val="20"/>
              </w:rPr>
              <w:t>Se ha generado un apartado. El enlace a la información no funcionaba en el momento de la revisión por lo que no se ha podido comprobar si los contenidos se ajustan a lo dispuesto en el Reglamento Europeo de Protección de Datos</w:t>
            </w:r>
          </w:p>
        </w:tc>
      </w:tr>
      <w:tr w:rsidR="00800B69" w:rsidRPr="007942B7" w:rsidTr="00870F9D">
        <w:tc>
          <w:tcPr>
            <w:tcW w:w="2093" w:type="dxa"/>
            <w:vMerge/>
            <w:vAlign w:val="center"/>
          </w:tcPr>
          <w:p w:rsidR="00800B69" w:rsidRPr="00C3228C" w:rsidRDefault="00800B69" w:rsidP="006D4C90">
            <w:pPr>
              <w:rPr>
                <w:sz w:val="20"/>
                <w:szCs w:val="20"/>
              </w:rPr>
            </w:pPr>
          </w:p>
        </w:tc>
        <w:tc>
          <w:tcPr>
            <w:tcW w:w="4819" w:type="dxa"/>
          </w:tcPr>
          <w:p w:rsidR="00800B69" w:rsidRDefault="00800B69" w:rsidP="00E83650">
            <w:pPr>
              <w:rPr>
                <w:sz w:val="20"/>
                <w:szCs w:val="20"/>
              </w:rPr>
            </w:pPr>
            <w:r>
              <w:rPr>
                <w:sz w:val="20"/>
                <w:szCs w:val="20"/>
              </w:rPr>
              <w:t>Completar la descripción de la estructura organizativa</w:t>
            </w:r>
          </w:p>
        </w:tc>
        <w:tc>
          <w:tcPr>
            <w:tcW w:w="567" w:type="dxa"/>
          </w:tcPr>
          <w:p w:rsidR="00800B69" w:rsidRPr="00800B69" w:rsidRDefault="00800B69" w:rsidP="00800B69">
            <w:pPr>
              <w:jc w:val="center"/>
              <w:rPr>
                <w:sz w:val="20"/>
                <w:szCs w:val="20"/>
              </w:rPr>
            </w:pPr>
            <w:r w:rsidRPr="00800B69">
              <w:rPr>
                <w:sz w:val="20"/>
                <w:szCs w:val="20"/>
              </w:rPr>
              <w:t>X</w:t>
            </w:r>
          </w:p>
        </w:tc>
        <w:tc>
          <w:tcPr>
            <w:tcW w:w="3203" w:type="dxa"/>
          </w:tcPr>
          <w:p w:rsidR="00800B69" w:rsidRPr="007942B7" w:rsidRDefault="00B90484" w:rsidP="00AC4A6F">
            <w:pPr>
              <w:rPr>
                <w:sz w:val="20"/>
                <w:szCs w:val="20"/>
              </w:rPr>
            </w:pPr>
            <w:r>
              <w:rPr>
                <w:sz w:val="20"/>
                <w:szCs w:val="20"/>
              </w:rPr>
              <w:t>Si</w:t>
            </w:r>
          </w:p>
        </w:tc>
      </w:tr>
      <w:tr w:rsidR="00800B69" w:rsidRPr="007942B7" w:rsidTr="00870F9D">
        <w:tc>
          <w:tcPr>
            <w:tcW w:w="2093" w:type="dxa"/>
            <w:vMerge/>
            <w:vAlign w:val="center"/>
          </w:tcPr>
          <w:p w:rsidR="00800B69" w:rsidRPr="00C3228C" w:rsidRDefault="00800B69" w:rsidP="006D4C90">
            <w:pPr>
              <w:rPr>
                <w:sz w:val="20"/>
                <w:szCs w:val="20"/>
              </w:rPr>
            </w:pPr>
          </w:p>
        </w:tc>
        <w:tc>
          <w:tcPr>
            <w:tcW w:w="4819" w:type="dxa"/>
          </w:tcPr>
          <w:p w:rsidR="00800B69" w:rsidRDefault="00800B69" w:rsidP="00E83650">
            <w:pPr>
              <w:rPr>
                <w:sz w:val="20"/>
                <w:szCs w:val="20"/>
              </w:rPr>
            </w:pPr>
            <w:r>
              <w:rPr>
                <w:sz w:val="20"/>
                <w:szCs w:val="20"/>
              </w:rPr>
              <w:t>Organigrama</w:t>
            </w:r>
          </w:p>
        </w:tc>
        <w:tc>
          <w:tcPr>
            <w:tcW w:w="567" w:type="dxa"/>
          </w:tcPr>
          <w:p w:rsidR="00800B69" w:rsidRPr="00800B69" w:rsidRDefault="00800B69" w:rsidP="00800B69">
            <w:pPr>
              <w:jc w:val="center"/>
              <w:rPr>
                <w:sz w:val="20"/>
                <w:szCs w:val="20"/>
              </w:rPr>
            </w:pPr>
            <w:r w:rsidRPr="00800B69">
              <w:rPr>
                <w:sz w:val="20"/>
                <w:szCs w:val="20"/>
              </w:rPr>
              <w:t>X</w:t>
            </w:r>
          </w:p>
        </w:tc>
        <w:tc>
          <w:tcPr>
            <w:tcW w:w="3203" w:type="dxa"/>
          </w:tcPr>
          <w:p w:rsidR="00800B69" w:rsidRPr="007942B7" w:rsidRDefault="00B90484" w:rsidP="00B90484">
            <w:pPr>
              <w:rPr>
                <w:sz w:val="20"/>
                <w:szCs w:val="20"/>
              </w:rPr>
            </w:pPr>
            <w:r>
              <w:rPr>
                <w:sz w:val="20"/>
                <w:szCs w:val="20"/>
              </w:rPr>
              <w:t>No, se publica una relación de los cargos que integran la Comisión Ejecutiva, pero no una representación gráfica de la estructura organizativa con las relaciones de dependencia entre los diferentes niveles de esta estructura.</w:t>
            </w:r>
          </w:p>
        </w:tc>
      </w:tr>
      <w:tr w:rsidR="00800B69" w:rsidRPr="007942B7" w:rsidTr="00870F9D">
        <w:tc>
          <w:tcPr>
            <w:tcW w:w="2093" w:type="dxa"/>
            <w:vMerge/>
            <w:vAlign w:val="center"/>
          </w:tcPr>
          <w:p w:rsidR="00800B69" w:rsidRPr="00C3228C" w:rsidRDefault="00800B69" w:rsidP="006D4C90">
            <w:pPr>
              <w:rPr>
                <w:sz w:val="20"/>
                <w:szCs w:val="20"/>
              </w:rPr>
            </w:pPr>
          </w:p>
        </w:tc>
        <w:tc>
          <w:tcPr>
            <w:tcW w:w="4819" w:type="dxa"/>
          </w:tcPr>
          <w:p w:rsidR="00800B69" w:rsidRDefault="00800B69" w:rsidP="00E83650">
            <w:pPr>
              <w:rPr>
                <w:sz w:val="20"/>
                <w:szCs w:val="20"/>
              </w:rPr>
            </w:pPr>
            <w:r>
              <w:rPr>
                <w:sz w:val="20"/>
                <w:szCs w:val="20"/>
              </w:rPr>
              <w:t>Perfil y trayectoria profesional de los máximos responsables</w:t>
            </w:r>
          </w:p>
        </w:tc>
        <w:tc>
          <w:tcPr>
            <w:tcW w:w="567" w:type="dxa"/>
          </w:tcPr>
          <w:p w:rsidR="00800B69" w:rsidRPr="00800B69" w:rsidRDefault="00800B69" w:rsidP="00800B69">
            <w:pPr>
              <w:jc w:val="center"/>
              <w:rPr>
                <w:sz w:val="20"/>
                <w:szCs w:val="20"/>
              </w:rPr>
            </w:pPr>
            <w:r w:rsidRPr="00800B69">
              <w:rPr>
                <w:sz w:val="20"/>
                <w:szCs w:val="20"/>
              </w:rPr>
              <w:t>X</w:t>
            </w:r>
          </w:p>
        </w:tc>
        <w:tc>
          <w:tcPr>
            <w:tcW w:w="3203" w:type="dxa"/>
          </w:tcPr>
          <w:p w:rsidR="00800B69" w:rsidRPr="007942B7" w:rsidRDefault="00B90484" w:rsidP="00AC4A6F">
            <w:pPr>
              <w:rPr>
                <w:sz w:val="20"/>
                <w:szCs w:val="20"/>
              </w:rPr>
            </w:pPr>
            <w:r>
              <w:rPr>
                <w:sz w:val="20"/>
                <w:szCs w:val="20"/>
              </w:rPr>
              <w:t>Si</w:t>
            </w:r>
          </w:p>
        </w:tc>
      </w:tr>
      <w:tr w:rsidR="00800B69" w:rsidRPr="007942B7" w:rsidTr="00870F9D">
        <w:tc>
          <w:tcPr>
            <w:tcW w:w="2093" w:type="dxa"/>
            <w:vMerge/>
            <w:vAlign w:val="center"/>
          </w:tcPr>
          <w:p w:rsidR="00800B69" w:rsidRPr="00C3228C" w:rsidRDefault="00800B69" w:rsidP="006D4C90">
            <w:pPr>
              <w:rPr>
                <w:sz w:val="20"/>
                <w:szCs w:val="20"/>
              </w:rPr>
            </w:pPr>
          </w:p>
        </w:tc>
        <w:tc>
          <w:tcPr>
            <w:tcW w:w="4819" w:type="dxa"/>
          </w:tcPr>
          <w:p w:rsidR="00800B69" w:rsidRDefault="00800B69" w:rsidP="00E83650">
            <w:pPr>
              <w:rPr>
                <w:sz w:val="20"/>
                <w:szCs w:val="20"/>
              </w:rPr>
            </w:pPr>
            <w:r>
              <w:rPr>
                <w:sz w:val="20"/>
                <w:szCs w:val="20"/>
              </w:rPr>
              <w:t>Contratos</w:t>
            </w:r>
          </w:p>
        </w:tc>
        <w:tc>
          <w:tcPr>
            <w:tcW w:w="567" w:type="dxa"/>
          </w:tcPr>
          <w:p w:rsidR="00800B69" w:rsidRPr="00800B69" w:rsidRDefault="00800B69" w:rsidP="00800B69">
            <w:pPr>
              <w:jc w:val="center"/>
              <w:rPr>
                <w:sz w:val="20"/>
                <w:szCs w:val="20"/>
              </w:rPr>
            </w:pPr>
            <w:r w:rsidRPr="00800B69">
              <w:rPr>
                <w:sz w:val="20"/>
                <w:szCs w:val="20"/>
              </w:rPr>
              <w:t>X</w:t>
            </w:r>
          </w:p>
        </w:tc>
        <w:tc>
          <w:tcPr>
            <w:tcW w:w="3203" w:type="dxa"/>
          </w:tcPr>
          <w:p w:rsidR="00800B69" w:rsidRPr="007942B7" w:rsidRDefault="00B90484" w:rsidP="00AC4A6F">
            <w:pPr>
              <w:rPr>
                <w:sz w:val="20"/>
                <w:szCs w:val="20"/>
              </w:rPr>
            </w:pPr>
            <w:r>
              <w:rPr>
                <w:sz w:val="20"/>
                <w:szCs w:val="20"/>
              </w:rPr>
              <w:t>Si</w:t>
            </w:r>
          </w:p>
        </w:tc>
      </w:tr>
      <w:tr w:rsidR="00800B69" w:rsidRPr="007942B7" w:rsidTr="00183301">
        <w:tc>
          <w:tcPr>
            <w:tcW w:w="2093" w:type="dxa"/>
            <w:vMerge/>
            <w:vAlign w:val="center"/>
          </w:tcPr>
          <w:p w:rsidR="00800B69" w:rsidRPr="00C3228C" w:rsidRDefault="00800B69" w:rsidP="006D4C90">
            <w:pPr>
              <w:rPr>
                <w:sz w:val="20"/>
                <w:szCs w:val="20"/>
              </w:rPr>
            </w:pPr>
          </w:p>
        </w:tc>
        <w:tc>
          <w:tcPr>
            <w:tcW w:w="4819" w:type="dxa"/>
          </w:tcPr>
          <w:p w:rsidR="00800B69" w:rsidRDefault="00800B69" w:rsidP="00E83650">
            <w:pPr>
              <w:rPr>
                <w:sz w:val="20"/>
                <w:szCs w:val="20"/>
              </w:rPr>
            </w:pPr>
            <w:r>
              <w:rPr>
                <w:sz w:val="20"/>
                <w:szCs w:val="20"/>
              </w:rPr>
              <w:t>Convenios</w:t>
            </w:r>
          </w:p>
        </w:tc>
        <w:tc>
          <w:tcPr>
            <w:tcW w:w="567" w:type="dxa"/>
            <w:vAlign w:val="center"/>
          </w:tcPr>
          <w:p w:rsidR="00800B69" w:rsidRDefault="00800B69" w:rsidP="00183301">
            <w:pPr>
              <w:jc w:val="center"/>
              <w:rPr>
                <w:sz w:val="20"/>
                <w:szCs w:val="20"/>
              </w:rPr>
            </w:pPr>
            <w:r>
              <w:rPr>
                <w:sz w:val="20"/>
                <w:szCs w:val="20"/>
              </w:rPr>
              <w:t>X</w:t>
            </w:r>
          </w:p>
        </w:tc>
        <w:tc>
          <w:tcPr>
            <w:tcW w:w="3203" w:type="dxa"/>
          </w:tcPr>
          <w:p w:rsidR="00800B69" w:rsidRPr="007942B7" w:rsidRDefault="00D47C80" w:rsidP="00D47C80">
            <w:pPr>
              <w:rPr>
                <w:sz w:val="20"/>
                <w:szCs w:val="20"/>
              </w:rPr>
            </w:pPr>
            <w:r>
              <w:rPr>
                <w:sz w:val="20"/>
                <w:szCs w:val="20"/>
              </w:rPr>
              <w:t xml:space="preserve">No, se publica una relación de los convenios subscritos con diferentes entidades, algunas públicas, pero no se incluyen los contenidos obligatorios que establece la </w:t>
            </w:r>
            <w:r>
              <w:rPr>
                <w:sz w:val="20"/>
                <w:szCs w:val="20"/>
              </w:rPr>
              <w:lastRenderedPageBreak/>
              <w:t xml:space="preserve">LTAIBG. Existen enlaces que posicionan en el perfil del contratante, sede electrónica o en web de las 3 instituciones públicas incluidas en la relación de entidades con las que se han subscrito convenios. </w:t>
            </w:r>
          </w:p>
        </w:tc>
      </w:tr>
      <w:tr w:rsidR="00800B69" w:rsidRPr="007942B7" w:rsidTr="00183301">
        <w:tc>
          <w:tcPr>
            <w:tcW w:w="2093" w:type="dxa"/>
            <w:vMerge/>
            <w:vAlign w:val="center"/>
          </w:tcPr>
          <w:p w:rsidR="00800B69" w:rsidRPr="00C3228C" w:rsidRDefault="00800B69" w:rsidP="006D4C90">
            <w:pPr>
              <w:rPr>
                <w:sz w:val="20"/>
                <w:szCs w:val="20"/>
              </w:rPr>
            </w:pPr>
          </w:p>
        </w:tc>
        <w:tc>
          <w:tcPr>
            <w:tcW w:w="4819" w:type="dxa"/>
          </w:tcPr>
          <w:p w:rsidR="00800B69" w:rsidRDefault="00800B69" w:rsidP="00E83650">
            <w:pPr>
              <w:rPr>
                <w:sz w:val="20"/>
                <w:szCs w:val="20"/>
              </w:rPr>
            </w:pPr>
            <w:r>
              <w:rPr>
                <w:sz w:val="20"/>
                <w:szCs w:val="20"/>
              </w:rPr>
              <w:t>Subvenciones percibidas</w:t>
            </w:r>
          </w:p>
        </w:tc>
        <w:tc>
          <w:tcPr>
            <w:tcW w:w="567" w:type="dxa"/>
            <w:vAlign w:val="center"/>
          </w:tcPr>
          <w:p w:rsidR="00800B69" w:rsidRDefault="00800B69" w:rsidP="00183301">
            <w:pPr>
              <w:jc w:val="center"/>
              <w:rPr>
                <w:sz w:val="20"/>
                <w:szCs w:val="20"/>
              </w:rPr>
            </w:pPr>
            <w:r>
              <w:rPr>
                <w:sz w:val="20"/>
                <w:szCs w:val="20"/>
              </w:rPr>
              <w:t>X</w:t>
            </w:r>
          </w:p>
        </w:tc>
        <w:tc>
          <w:tcPr>
            <w:tcW w:w="3203" w:type="dxa"/>
          </w:tcPr>
          <w:p w:rsidR="00800B69" w:rsidRPr="007942B7" w:rsidRDefault="00D47C80" w:rsidP="00AC4A6F">
            <w:pPr>
              <w:rPr>
                <w:sz w:val="20"/>
                <w:szCs w:val="20"/>
              </w:rPr>
            </w:pPr>
            <w:r>
              <w:rPr>
                <w:sz w:val="20"/>
                <w:szCs w:val="20"/>
              </w:rPr>
              <w:t>Si</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D47C80" w:rsidP="00BA14E6">
            <w:pPr>
              <w:rPr>
                <w:sz w:val="20"/>
                <w:szCs w:val="20"/>
              </w:rPr>
            </w:pPr>
            <w:r>
              <w:rPr>
                <w:sz w:val="20"/>
                <w:szCs w:val="20"/>
              </w:rPr>
              <w:t>Revisada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183301" w:rsidP="00183301">
            <w:pPr>
              <w:jc w:val="center"/>
              <w:rPr>
                <w:sz w:val="20"/>
                <w:szCs w:val="20"/>
              </w:rPr>
            </w:pPr>
            <w:r>
              <w:rPr>
                <w:sz w:val="20"/>
                <w:szCs w:val="20"/>
              </w:rPr>
              <w:t>X</w:t>
            </w:r>
          </w:p>
        </w:tc>
        <w:tc>
          <w:tcPr>
            <w:tcW w:w="3203" w:type="dxa"/>
          </w:tcPr>
          <w:p w:rsidR="006D4C90" w:rsidRPr="007942B7" w:rsidRDefault="00D47C80" w:rsidP="00183301">
            <w:pPr>
              <w:rPr>
                <w:sz w:val="20"/>
                <w:szCs w:val="20"/>
              </w:rPr>
            </w:pPr>
            <w:r>
              <w:rPr>
                <w:sz w:val="20"/>
                <w:szCs w:val="20"/>
              </w:rPr>
              <w:t>Parcialmente</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800B69" w:rsidP="00C26ADC">
            <w:pPr>
              <w:jc w:val="center"/>
              <w:rPr>
                <w:b/>
                <w:sz w:val="20"/>
                <w:szCs w:val="20"/>
              </w:rPr>
            </w:pPr>
            <w:r>
              <w:rPr>
                <w:b/>
                <w:sz w:val="20"/>
                <w:szCs w:val="20"/>
              </w:rPr>
              <w:t>12</w:t>
            </w:r>
          </w:p>
        </w:tc>
        <w:tc>
          <w:tcPr>
            <w:tcW w:w="3203" w:type="dxa"/>
          </w:tcPr>
          <w:p w:rsidR="001C7D84" w:rsidRPr="001C7D84" w:rsidRDefault="001C7D84" w:rsidP="00AC4A6F">
            <w:pPr>
              <w:rPr>
                <w:b/>
                <w:sz w:val="20"/>
                <w:szCs w:val="20"/>
              </w:rPr>
            </w:pPr>
          </w:p>
        </w:tc>
      </w:tr>
    </w:tbl>
    <w:p w:rsidR="003A1694" w:rsidRDefault="003A1694" w:rsidP="00AC4A6F"/>
    <w:p w:rsidR="00FA5AFD" w:rsidRDefault="00FA5AFD" w:rsidP="00AC4A6F"/>
    <w:p w:rsidR="005022EF" w:rsidRDefault="005022EF" w:rsidP="005022EF">
      <w:r>
        <w:t>El CG</w:t>
      </w:r>
      <w:r w:rsidRPr="00272EFF">
        <w:t>C</w:t>
      </w:r>
      <w:r>
        <w:t>HCP</w:t>
      </w:r>
      <w:r>
        <w:t xml:space="preserve"> ha aplicado el </w:t>
      </w:r>
      <w:r>
        <w:t>75</w:t>
      </w:r>
      <w:r>
        <w:t xml:space="preserve">% de las recomendaciones efectuadas a partir de las evidencias obtenidas en la evaluación realizada en 2020. </w:t>
      </w:r>
      <w:r>
        <w:t xml:space="preserve">Es especialmente destacable la creación de un Portal de Transparencia en su web institucional. </w:t>
      </w:r>
    </w:p>
    <w:p w:rsidR="005022EF" w:rsidRDefault="005022EF" w:rsidP="005022EF"/>
    <w:p w:rsidR="00FA5AFD" w:rsidRDefault="005022EF" w:rsidP="00AC4A6F">
      <w:r>
        <w:rPr>
          <w:rFonts w:ascii="Arial" w:eastAsia="Arial" w:hAnsi="Arial" w:cs="Arial"/>
          <w:noProof/>
          <w:lang w:eastAsia="es-ES"/>
        </w:rPr>
        <w:pict>
          <v:rect id="Rectángulo 18" o:spid="_x0000_s1028" style="position:absolute;margin-left:-.75pt;margin-top:.5pt;width:630pt;height:78pt;z-index:251710464;visibility:visible;mso-position-horizontal-relative:page;mso-position-vertical-relative:page" wrapcoords="-26 0 -26 21392 21600 21392 21600 0 -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D9090A" w:rsidRPr="00F31BC3" w:rsidRDefault="00D9090A" w:rsidP="002D27E4">
                  <w:r w:rsidRPr="00965C69">
                    <w:rPr>
                      <w:noProof/>
                      <w:lang w:eastAsia="es-ES"/>
                    </w:rPr>
                    <w:drawing>
                      <wp:inline distT="0" distB="0" distL="0" distR="0">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w:r>
    </w:p>
    <w:p w:rsidR="003F6EDC" w:rsidRPr="002D27E4" w:rsidRDefault="005022EF"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675F1C" w:rsidRPr="006D4C90" w:rsidTr="00675F1C">
        <w:trPr>
          <w:trHeight w:val="315"/>
        </w:trPr>
        <w:tc>
          <w:tcPr>
            <w:tcW w:w="2151" w:type="pct"/>
            <w:tcBorders>
              <w:left w:val="nil"/>
              <w:bottom w:val="nil"/>
              <w:right w:val="nil"/>
            </w:tcBorders>
            <w:shd w:val="clear" w:color="auto" w:fill="F5FDFA"/>
            <w:noWrap/>
            <w:hideMark/>
          </w:tcPr>
          <w:p w:rsidR="00675F1C" w:rsidRPr="006D4C90" w:rsidRDefault="00675F1C"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66,7</w:t>
            </w:r>
          </w:p>
        </w:tc>
        <w:tc>
          <w:tcPr>
            <w:tcW w:w="398" w:type="pct"/>
            <w:tcBorders>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66,7</w:t>
            </w:r>
          </w:p>
        </w:tc>
        <w:tc>
          <w:tcPr>
            <w:tcW w:w="458" w:type="pct"/>
            <w:tcBorders>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66,7</w:t>
            </w:r>
          </w:p>
        </w:tc>
        <w:tc>
          <w:tcPr>
            <w:tcW w:w="292" w:type="pct"/>
            <w:tcBorders>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66,7</w:t>
            </w:r>
          </w:p>
        </w:tc>
        <w:tc>
          <w:tcPr>
            <w:tcW w:w="292" w:type="pct"/>
            <w:tcBorders>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66,7</w:t>
            </w:r>
          </w:p>
        </w:tc>
        <w:tc>
          <w:tcPr>
            <w:tcW w:w="292" w:type="pct"/>
            <w:tcBorders>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66,7</w:t>
            </w:r>
          </w:p>
        </w:tc>
        <w:tc>
          <w:tcPr>
            <w:tcW w:w="298" w:type="pct"/>
            <w:tcBorders>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33,3</w:t>
            </w:r>
          </w:p>
        </w:tc>
        <w:tc>
          <w:tcPr>
            <w:tcW w:w="354" w:type="pct"/>
            <w:tcBorders>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61,9</w:t>
            </w:r>
          </w:p>
        </w:tc>
      </w:tr>
      <w:tr w:rsidR="00675F1C" w:rsidRPr="006D4C90" w:rsidTr="00675F1C">
        <w:trPr>
          <w:trHeight w:val="315"/>
        </w:trPr>
        <w:tc>
          <w:tcPr>
            <w:tcW w:w="2151" w:type="pct"/>
            <w:tcBorders>
              <w:top w:val="nil"/>
              <w:left w:val="nil"/>
              <w:bottom w:val="nil"/>
              <w:right w:val="nil"/>
            </w:tcBorders>
            <w:shd w:val="clear" w:color="auto" w:fill="F5FDFA"/>
            <w:noWrap/>
            <w:hideMark/>
          </w:tcPr>
          <w:p w:rsidR="00675F1C" w:rsidRPr="006D4C90" w:rsidRDefault="00675F1C"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75,0</w:t>
            </w:r>
          </w:p>
        </w:tc>
        <w:tc>
          <w:tcPr>
            <w:tcW w:w="398" w:type="pct"/>
            <w:tcBorders>
              <w:top w:val="nil"/>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75,0</w:t>
            </w:r>
          </w:p>
        </w:tc>
        <w:tc>
          <w:tcPr>
            <w:tcW w:w="458" w:type="pct"/>
            <w:tcBorders>
              <w:top w:val="nil"/>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75,0</w:t>
            </w:r>
          </w:p>
        </w:tc>
        <w:tc>
          <w:tcPr>
            <w:tcW w:w="292" w:type="pct"/>
            <w:tcBorders>
              <w:top w:val="nil"/>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75,0</w:t>
            </w:r>
          </w:p>
        </w:tc>
        <w:tc>
          <w:tcPr>
            <w:tcW w:w="292" w:type="pct"/>
            <w:tcBorders>
              <w:top w:val="nil"/>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75,0</w:t>
            </w:r>
          </w:p>
        </w:tc>
        <w:tc>
          <w:tcPr>
            <w:tcW w:w="292" w:type="pct"/>
            <w:tcBorders>
              <w:top w:val="nil"/>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75,0</w:t>
            </w:r>
          </w:p>
        </w:tc>
        <w:tc>
          <w:tcPr>
            <w:tcW w:w="298" w:type="pct"/>
            <w:tcBorders>
              <w:top w:val="nil"/>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37,5</w:t>
            </w:r>
          </w:p>
        </w:tc>
        <w:tc>
          <w:tcPr>
            <w:tcW w:w="354" w:type="pct"/>
            <w:tcBorders>
              <w:top w:val="nil"/>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69,6</w:t>
            </w:r>
          </w:p>
        </w:tc>
      </w:tr>
      <w:tr w:rsidR="00675F1C" w:rsidRPr="006D4C90" w:rsidTr="00675F1C">
        <w:trPr>
          <w:trHeight w:val="315"/>
        </w:trPr>
        <w:tc>
          <w:tcPr>
            <w:tcW w:w="2151" w:type="pct"/>
            <w:tcBorders>
              <w:top w:val="nil"/>
              <w:left w:val="nil"/>
              <w:bottom w:val="nil"/>
              <w:right w:val="nil"/>
            </w:tcBorders>
            <w:shd w:val="clear" w:color="auto" w:fill="65AD82"/>
            <w:noWrap/>
            <w:hideMark/>
          </w:tcPr>
          <w:p w:rsidR="00675F1C" w:rsidRPr="006D4C90" w:rsidRDefault="00675F1C"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vAlign w:val="center"/>
          </w:tcPr>
          <w:p w:rsidR="00675F1C" w:rsidRPr="00675F1C" w:rsidRDefault="00675F1C" w:rsidP="00675F1C">
            <w:pPr>
              <w:jc w:val="center"/>
              <w:rPr>
                <w:b/>
                <w:color w:val="FFFFFF" w:themeColor="background1"/>
                <w:sz w:val="16"/>
                <w:szCs w:val="16"/>
              </w:rPr>
            </w:pPr>
            <w:r w:rsidRPr="00675F1C">
              <w:rPr>
                <w:b/>
                <w:color w:val="FFFFFF" w:themeColor="background1"/>
                <w:sz w:val="16"/>
                <w:szCs w:val="16"/>
              </w:rPr>
              <w:t>71,4</w:t>
            </w:r>
          </w:p>
        </w:tc>
        <w:tc>
          <w:tcPr>
            <w:tcW w:w="398" w:type="pct"/>
            <w:tcBorders>
              <w:top w:val="nil"/>
              <w:left w:val="nil"/>
              <w:bottom w:val="nil"/>
              <w:right w:val="nil"/>
            </w:tcBorders>
            <w:shd w:val="clear" w:color="auto" w:fill="65AD82"/>
            <w:noWrap/>
            <w:vAlign w:val="center"/>
          </w:tcPr>
          <w:p w:rsidR="00675F1C" w:rsidRPr="00675F1C" w:rsidRDefault="00675F1C" w:rsidP="00675F1C">
            <w:pPr>
              <w:jc w:val="center"/>
              <w:rPr>
                <w:b/>
                <w:color w:val="FFFFFF" w:themeColor="background1"/>
                <w:sz w:val="16"/>
                <w:szCs w:val="16"/>
              </w:rPr>
            </w:pPr>
            <w:r w:rsidRPr="00675F1C">
              <w:rPr>
                <w:b/>
                <w:color w:val="FFFFFF" w:themeColor="background1"/>
                <w:sz w:val="16"/>
                <w:szCs w:val="16"/>
              </w:rPr>
              <w:t>71,4</w:t>
            </w:r>
          </w:p>
        </w:tc>
        <w:tc>
          <w:tcPr>
            <w:tcW w:w="458" w:type="pct"/>
            <w:tcBorders>
              <w:top w:val="nil"/>
              <w:left w:val="nil"/>
              <w:bottom w:val="nil"/>
              <w:right w:val="nil"/>
            </w:tcBorders>
            <w:shd w:val="clear" w:color="auto" w:fill="65AD82"/>
            <w:noWrap/>
            <w:vAlign w:val="center"/>
          </w:tcPr>
          <w:p w:rsidR="00675F1C" w:rsidRPr="00675F1C" w:rsidRDefault="00675F1C" w:rsidP="00675F1C">
            <w:pPr>
              <w:jc w:val="center"/>
              <w:rPr>
                <w:b/>
                <w:color w:val="FFFFFF" w:themeColor="background1"/>
                <w:sz w:val="16"/>
                <w:szCs w:val="16"/>
              </w:rPr>
            </w:pPr>
            <w:r w:rsidRPr="00675F1C">
              <w:rPr>
                <w:b/>
                <w:color w:val="FFFFFF" w:themeColor="background1"/>
                <w:sz w:val="16"/>
                <w:szCs w:val="16"/>
              </w:rPr>
              <w:t>71,4</w:t>
            </w:r>
          </w:p>
        </w:tc>
        <w:tc>
          <w:tcPr>
            <w:tcW w:w="292" w:type="pct"/>
            <w:tcBorders>
              <w:top w:val="nil"/>
              <w:left w:val="nil"/>
              <w:bottom w:val="nil"/>
              <w:right w:val="nil"/>
            </w:tcBorders>
            <w:shd w:val="clear" w:color="auto" w:fill="65AD82"/>
            <w:noWrap/>
            <w:vAlign w:val="center"/>
          </w:tcPr>
          <w:p w:rsidR="00675F1C" w:rsidRPr="00675F1C" w:rsidRDefault="00675F1C" w:rsidP="00675F1C">
            <w:pPr>
              <w:jc w:val="center"/>
              <w:rPr>
                <w:b/>
                <w:color w:val="FFFFFF" w:themeColor="background1"/>
                <w:sz w:val="16"/>
                <w:szCs w:val="16"/>
              </w:rPr>
            </w:pPr>
            <w:r w:rsidRPr="00675F1C">
              <w:rPr>
                <w:b/>
                <w:color w:val="FFFFFF" w:themeColor="background1"/>
                <w:sz w:val="16"/>
                <w:szCs w:val="16"/>
              </w:rPr>
              <w:t>71,4</w:t>
            </w:r>
          </w:p>
        </w:tc>
        <w:tc>
          <w:tcPr>
            <w:tcW w:w="292" w:type="pct"/>
            <w:tcBorders>
              <w:top w:val="nil"/>
              <w:left w:val="nil"/>
              <w:bottom w:val="nil"/>
              <w:right w:val="nil"/>
            </w:tcBorders>
            <w:shd w:val="clear" w:color="auto" w:fill="65AD82"/>
            <w:noWrap/>
            <w:vAlign w:val="center"/>
          </w:tcPr>
          <w:p w:rsidR="00675F1C" w:rsidRPr="00675F1C" w:rsidRDefault="00675F1C" w:rsidP="00675F1C">
            <w:pPr>
              <w:jc w:val="center"/>
              <w:rPr>
                <w:b/>
                <w:color w:val="FFFFFF" w:themeColor="background1"/>
                <w:sz w:val="16"/>
                <w:szCs w:val="16"/>
              </w:rPr>
            </w:pPr>
            <w:r w:rsidRPr="00675F1C">
              <w:rPr>
                <w:b/>
                <w:color w:val="FFFFFF" w:themeColor="background1"/>
                <w:sz w:val="16"/>
                <w:szCs w:val="16"/>
              </w:rPr>
              <w:t>71,4</w:t>
            </w:r>
          </w:p>
        </w:tc>
        <w:tc>
          <w:tcPr>
            <w:tcW w:w="292" w:type="pct"/>
            <w:tcBorders>
              <w:top w:val="nil"/>
              <w:left w:val="nil"/>
              <w:bottom w:val="nil"/>
              <w:right w:val="nil"/>
            </w:tcBorders>
            <w:shd w:val="clear" w:color="auto" w:fill="65AD82"/>
            <w:noWrap/>
            <w:vAlign w:val="center"/>
          </w:tcPr>
          <w:p w:rsidR="00675F1C" w:rsidRPr="00675F1C" w:rsidRDefault="00675F1C" w:rsidP="00675F1C">
            <w:pPr>
              <w:jc w:val="center"/>
              <w:rPr>
                <w:b/>
                <w:color w:val="FFFFFF" w:themeColor="background1"/>
                <w:sz w:val="16"/>
                <w:szCs w:val="16"/>
              </w:rPr>
            </w:pPr>
            <w:r w:rsidRPr="00675F1C">
              <w:rPr>
                <w:b/>
                <w:color w:val="FFFFFF" w:themeColor="background1"/>
                <w:sz w:val="16"/>
                <w:szCs w:val="16"/>
              </w:rPr>
              <w:t>71,4</w:t>
            </w:r>
          </w:p>
        </w:tc>
        <w:tc>
          <w:tcPr>
            <w:tcW w:w="298" w:type="pct"/>
            <w:tcBorders>
              <w:top w:val="nil"/>
              <w:left w:val="nil"/>
              <w:bottom w:val="nil"/>
              <w:right w:val="nil"/>
            </w:tcBorders>
            <w:shd w:val="clear" w:color="auto" w:fill="65AD82"/>
            <w:noWrap/>
            <w:vAlign w:val="center"/>
          </w:tcPr>
          <w:p w:rsidR="00675F1C" w:rsidRPr="00675F1C" w:rsidRDefault="00675F1C" w:rsidP="00675F1C">
            <w:pPr>
              <w:jc w:val="center"/>
              <w:rPr>
                <w:b/>
                <w:color w:val="FFFFFF" w:themeColor="background1"/>
                <w:sz w:val="16"/>
                <w:szCs w:val="16"/>
              </w:rPr>
            </w:pPr>
            <w:r w:rsidRPr="00675F1C">
              <w:rPr>
                <w:b/>
                <w:color w:val="FFFFFF" w:themeColor="background1"/>
                <w:sz w:val="16"/>
                <w:szCs w:val="16"/>
              </w:rPr>
              <w:t>35,7</w:t>
            </w:r>
          </w:p>
        </w:tc>
        <w:tc>
          <w:tcPr>
            <w:tcW w:w="354" w:type="pct"/>
            <w:tcBorders>
              <w:top w:val="nil"/>
              <w:left w:val="nil"/>
              <w:bottom w:val="nil"/>
              <w:right w:val="nil"/>
            </w:tcBorders>
            <w:shd w:val="clear" w:color="auto" w:fill="65AD82"/>
            <w:noWrap/>
            <w:vAlign w:val="center"/>
          </w:tcPr>
          <w:p w:rsidR="00675F1C" w:rsidRPr="00675F1C" w:rsidRDefault="00675F1C" w:rsidP="00675F1C">
            <w:pPr>
              <w:jc w:val="center"/>
              <w:rPr>
                <w:b/>
                <w:color w:val="FFFFFF" w:themeColor="background1"/>
                <w:sz w:val="16"/>
                <w:szCs w:val="16"/>
              </w:rPr>
            </w:pPr>
            <w:r w:rsidRPr="00675F1C">
              <w:rPr>
                <w:b/>
                <w:color w:val="FFFFFF" w:themeColor="background1"/>
                <w:sz w:val="16"/>
                <w:szCs w:val="16"/>
              </w:rPr>
              <w:t>66,3</w:t>
            </w:r>
          </w:p>
        </w:tc>
      </w:tr>
      <w:tr w:rsidR="00CC48E8" w:rsidRPr="006D4C90" w:rsidTr="00675F1C">
        <w:trPr>
          <w:trHeight w:val="315"/>
        </w:trPr>
        <w:tc>
          <w:tcPr>
            <w:tcW w:w="5000" w:type="pct"/>
            <w:gridSpan w:val="9"/>
            <w:tcBorders>
              <w:top w:val="nil"/>
              <w:left w:val="nil"/>
              <w:bottom w:val="nil"/>
              <w:right w:val="nil"/>
            </w:tcBorders>
            <w:shd w:val="clear" w:color="auto" w:fill="F2F2F2" w:themeFill="background1" w:themeFillShade="F2"/>
            <w:noWrap/>
            <w:vAlign w:val="center"/>
            <w:hideMark/>
          </w:tcPr>
          <w:p w:rsidR="00CC48E8" w:rsidRPr="00675F1C" w:rsidRDefault="00CC48E8" w:rsidP="00675F1C">
            <w:pPr>
              <w:rPr>
                <w:b/>
                <w:sz w:val="16"/>
                <w:szCs w:val="16"/>
              </w:rPr>
            </w:pPr>
            <w:r w:rsidRPr="00675F1C">
              <w:rPr>
                <w:rFonts w:eastAsia="Times New Roman" w:cs="Arial"/>
                <w:b/>
                <w:sz w:val="16"/>
                <w:szCs w:val="16"/>
                <w:lang w:eastAsia="es-ES"/>
              </w:rPr>
              <w:t>INFORMACIÓN ECONÓMICA, PRESUPUESTARIA Y ESTADÍSTICA</w:t>
            </w:r>
          </w:p>
        </w:tc>
      </w:tr>
      <w:tr w:rsidR="00675F1C" w:rsidRPr="006D4C90" w:rsidTr="00675F1C">
        <w:trPr>
          <w:trHeight w:val="315"/>
        </w:trPr>
        <w:tc>
          <w:tcPr>
            <w:tcW w:w="2151" w:type="pct"/>
            <w:tcBorders>
              <w:top w:val="nil"/>
              <w:left w:val="nil"/>
              <w:bottom w:val="nil"/>
              <w:right w:val="nil"/>
            </w:tcBorders>
            <w:shd w:val="clear" w:color="auto" w:fill="F5FDFA"/>
            <w:noWrap/>
            <w:hideMark/>
          </w:tcPr>
          <w:p w:rsidR="00675F1C" w:rsidRPr="006D4C90" w:rsidRDefault="00675F1C"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2849" w:type="pct"/>
            <w:gridSpan w:val="8"/>
            <w:tcBorders>
              <w:top w:val="nil"/>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No aplicable</w:t>
            </w:r>
          </w:p>
        </w:tc>
      </w:tr>
      <w:tr w:rsidR="00675F1C" w:rsidRPr="006D4C90" w:rsidTr="00675F1C">
        <w:trPr>
          <w:trHeight w:val="315"/>
        </w:trPr>
        <w:tc>
          <w:tcPr>
            <w:tcW w:w="2151" w:type="pct"/>
            <w:tcBorders>
              <w:top w:val="nil"/>
              <w:left w:val="nil"/>
              <w:bottom w:val="nil"/>
              <w:right w:val="nil"/>
            </w:tcBorders>
            <w:shd w:val="clear" w:color="auto" w:fill="F5FDFA"/>
            <w:noWrap/>
            <w:hideMark/>
          </w:tcPr>
          <w:p w:rsidR="00675F1C" w:rsidRPr="006D4C90" w:rsidRDefault="00675F1C"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0,0</w:t>
            </w:r>
          </w:p>
        </w:tc>
        <w:tc>
          <w:tcPr>
            <w:tcW w:w="398" w:type="pct"/>
            <w:tcBorders>
              <w:top w:val="nil"/>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0,0</w:t>
            </w:r>
          </w:p>
        </w:tc>
        <w:tc>
          <w:tcPr>
            <w:tcW w:w="458" w:type="pct"/>
            <w:tcBorders>
              <w:top w:val="nil"/>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0,0</w:t>
            </w:r>
          </w:p>
        </w:tc>
        <w:tc>
          <w:tcPr>
            <w:tcW w:w="292" w:type="pct"/>
            <w:tcBorders>
              <w:top w:val="nil"/>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0,0</w:t>
            </w:r>
          </w:p>
        </w:tc>
        <w:tc>
          <w:tcPr>
            <w:tcW w:w="292" w:type="pct"/>
            <w:tcBorders>
              <w:top w:val="nil"/>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0,0</w:t>
            </w:r>
          </w:p>
        </w:tc>
        <w:tc>
          <w:tcPr>
            <w:tcW w:w="292" w:type="pct"/>
            <w:tcBorders>
              <w:top w:val="nil"/>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0,0</w:t>
            </w:r>
          </w:p>
        </w:tc>
        <w:tc>
          <w:tcPr>
            <w:tcW w:w="298" w:type="pct"/>
            <w:tcBorders>
              <w:top w:val="nil"/>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0,0</w:t>
            </w:r>
          </w:p>
        </w:tc>
        <w:tc>
          <w:tcPr>
            <w:tcW w:w="354" w:type="pct"/>
            <w:tcBorders>
              <w:top w:val="nil"/>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0,0</w:t>
            </w:r>
          </w:p>
        </w:tc>
      </w:tr>
      <w:tr w:rsidR="00675F1C" w:rsidRPr="006D4C90" w:rsidTr="00675F1C">
        <w:trPr>
          <w:trHeight w:val="315"/>
        </w:trPr>
        <w:tc>
          <w:tcPr>
            <w:tcW w:w="2151" w:type="pct"/>
            <w:tcBorders>
              <w:top w:val="nil"/>
              <w:left w:val="nil"/>
              <w:bottom w:val="nil"/>
              <w:right w:val="nil"/>
            </w:tcBorders>
            <w:shd w:val="clear" w:color="auto" w:fill="F5FDFA"/>
            <w:noWrap/>
          </w:tcPr>
          <w:p w:rsidR="00675F1C" w:rsidRPr="006D4C90" w:rsidRDefault="00675F1C" w:rsidP="00CC48E8">
            <w:pPr>
              <w:rPr>
                <w:rFonts w:eastAsia="Times New Roman" w:cs="Arial"/>
                <w:sz w:val="18"/>
                <w:szCs w:val="18"/>
                <w:lang w:eastAsia="es-ES"/>
              </w:rPr>
            </w:pPr>
            <w:r w:rsidRPr="00AF0E39">
              <w:rPr>
                <w:rFonts w:eastAsia="Times New Roman" w:cs="Arial"/>
                <w:sz w:val="18"/>
                <w:szCs w:val="18"/>
                <w:lang w:eastAsia="es-ES"/>
              </w:rPr>
              <w:t>Subvenciones</w:t>
            </w:r>
          </w:p>
        </w:tc>
        <w:tc>
          <w:tcPr>
            <w:tcW w:w="2849" w:type="pct"/>
            <w:gridSpan w:val="8"/>
            <w:tcBorders>
              <w:top w:val="nil"/>
              <w:left w:val="nil"/>
              <w:bottom w:val="nil"/>
              <w:right w:val="nil"/>
            </w:tcBorders>
            <w:shd w:val="clear" w:color="auto" w:fill="F5FDFA"/>
            <w:noWrap/>
            <w:vAlign w:val="center"/>
          </w:tcPr>
          <w:p w:rsidR="00675F1C" w:rsidRPr="00675F1C" w:rsidRDefault="00675F1C" w:rsidP="00675F1C">
            <w:pPr>
              <w:jc w:val="center"/>
              <w:rPr>
                <w:sz w:val="16"/>
                <w:szCs w:val="16"/>
              </w:rPr>
            </w:pPr>
            <w:r w:rsidRPr="00675F1C">
              <w:rPr>
                <w:sz w:val="16"/>
                <w:szCs w:val="16"/>
              </w:rPr>
              <w:t>No aplicable</w:t>
            </w:r>
          </w:p>
        </w:tc>
      </w:tr>
      <w:tr w:rsidR="00675F1C" w:rsidRPr="006D4C90" w:rsidTr="00675F1C">
        <w:trPr>
          <w:trHeight w:val="315"/>
        </w:trPr>
        <w:tc>
          <w:tcPr>
            <w:tcW w:w="2151" w:type="pct"/>
            <w:tcBorders>
              <w:top w:val="nil"/>
              <w:left w:val="nil"/>
              <w:bottom w:val="nil"/>
              <w:right w:val="nil"/>
            </w:tcBorders>
            <w:shd w:val="clear" w:color="auto" w:fill="65AD82"/>
            <w:noWrap/>
            <w:hideMark/>
          </w:tcPr>
          <w:p w:rsidR="00675F1C" w:rsidRPr="006D4C90" w:rsidRDefault="00675F1C"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vAlign w:val="center"/>
          </w:tcPr>
          <w:p w:rsidR="00675F1C" w:rsidRPr="00675F1C" w:rsidRDefault="00675F1C" w:rsidP="00675F1C">
            <w:pPr>
              <w:jc w:val="center"/>
              <w:rPr>
                <w:b/>
                <w:color w:val="FFFFFF" w:themeColor="background1"/>
                <w:sz w:val="16"/>
                <w:szCs w:val="16"/>
              </w:rPr>
            </w:pPr>
            <w:r w:rsidRPr="00675F1C">
              <w:rPr>
                <w:b/>
                <w:color w:val="FFFFFF" w:themeColor="background1"/>
                <w:sz w:val="16"/>
                <w:szCs w:val="16"/>
              </w:rPr>
              <w:t>0,0</w:t>
            </w:r>
          </w:p>
        </w:tc>
        <w:tc>
          <w:tcPr>
            <w:tcW w:w="398" w:type="pct"/>
            <w:tcBorders>
              <w:top w:val="nil"/>
              <w:left w:val="nil"/>
              <w:bottom w:val="nil"/>
              <w:right w:val="nil"/>
            </w:tcBorders>
            <w:shd w:val="clear" w:color="auto" w:fill="65AD82"/>
            <w:noWrap/>
            <w:vAlign w:val="center"/>
          </w:tcPr>
          <w:p w:rsidR="00675F1C" w:rsidRPr="00675F1C" w:rsidRDefault="00675F1C" w:rsidP="00675F1C">
            <w:pPr>
              <w:jc w:val="center"/>
              <w:rPr>
                <w:b/>
                <w:color w:val="FFFFFF" w:themeColor="background1"/>
                <w:sz w:val="16"/>
                <w:szCs w:val="16"/>
              </w:rPr>
            </w:pPr>
            <w:r w:rsidRPr="00675F1C">
              <w:rPr>
                <w:b/>
                <w:color w:val="FFFFFF" w:themeColor="background1"/>
                <w:sz w:val="16"/>
                <w:szCs w:val="16"/>
              </w:rPr>
              <w:t>0,0</w:t>
            </w:r>
          </w:p>
        </w:tc>
        <w:tc>
          <w:tcPr>
            <w:tcW w:w="458" w:type="pct"/>
            <w:tcBorders>
              <w:top w:val="nil"/>
              <w:left w:val="nil"/>
              <w:bottom w:val="nil"/>
              <w:right w:val="nil"/>
            </w:tcBorders>
            <w:shd w:val="clear" w:color="auto" w:fill="65AD82"/>
            <w:noWrap/>
            <w:vAlign w:val="center"/>
          </w:tcPr>
          <w:p w:rsidR="00675F1C" w:rsidRPr="00675F1C" w:rsidRDefault="00675F1C" w:rsidP="00675F1C">
            <w:pPr>
              <w:jc w:val="center"/>
              <w:rPr>
                <w:b/>
                <w:color w:val="FFFFFF" w:themeColor="background1"/>
                <w:sz w:val="16"/>
                <w:szCs w:val="16"/>
              </w:rPr>
            </w:pPr>
            <w:r w:rsidRPr="00675F1C">
              <w:rPr>
                <w:b/>
                <w:color w:val="FFFFFF" w:themeColor="background1"/>
                <w:sz w:val="16"/>
                <w:szCs w:val="16"/>
              </w:rPr>
              <w:t>0,0</w:t>
            </w:r>
          </w:p>
        </w:tc>
        <w:tc>
          <w:tcPr>
            <w:tcW w:w="292" w:type="pct"/>
            <w:tcBorders>
              <w:top w:val="nil"/>
              <w:left w:val="nil"/>
              <w:bottom w:val="nil"/>
              <w:right w:val="nil"/>
            </w:tcBorders>
            <w:shd w:val="clear" w:color="auto" w:fill="65AD82"/>
            <w:noWrap/>
            <w:vAlign w:val="center"/>
          </w:tcPr>
          <w:p w:rsidR="00675F1C" w:rsidRPr="00675F1C" w:rsidRDefault="00675F1C" w:rsidP="00675F1C">
            <w:pPr>
              <w:jc w:val="center"/>
              <w:rPr>
                <w:b/>
                <w:color w:val="FFFFFF" w:themeColor="background1"/>
                <w:sz w:val="16"/>
                <w:szCs w:val="16"/>
              </w:rPr>
            </w:pPr>
            <w:r w:rsidRPr="00675F1C">
              <w:rPr>
                <w:b/>
                <w:color w:val="FFFFFF" w:themeColor="background1"/>
                <w:sz w:val="16"/>
                <w:szCs w:val="16"/>
              </w:rPr>
              <w:t>0,0</w:t>
            </w:r>
          </w:p>
        </w:tc>
        <w:tc>
          <w:tcPr>
            <w:tcW w:w="292" w:type="pct"/>
            <w:tcBorders>
              <w:top w:val="nil"/>
              <w:left w:val="nil"/>
              <w:bottom w:val="nil"/>
              <w:right w:val="nil"/>
            </w:tcBorders>
            <w:shd w:val="clear" w:color="auto" w:fill="65AD82"/>
            <w:noWrap/>
            <w:vAlign w:val="center"/>
          </w:tcPr>
          <w:p w:rsidR="00675F1C" w:rsidRPr="00675F1C" w:rsidRDefault="00675F1C" w:rsidP="00675F1C">
            <w:pPr>
              <w:jc w:val="center"/>
              <w:rPr>
                <w:b/>
                <w:color w:val="FFFFFF" w:themeColor="background1"/>
                <w:sz w:val="16"/>
                <w:szCs w:val="16"/>
              </w:rPr>
            </w:pPr>
            <w:r w:rsidRPr="00675F1C">
              <w:rPr>
                <w:b/>
                <w:color w:val="FFFFFF" w:themeColor="background1"/>
                <w:sz w:val="16"/>
                <w:szCs w:val="16"/>
              </w:rPr>
              <w:t>0,0</w:t>
            </w:r>
          </w:p>
        </w:tc>
        <w:tc>
          <w:tcPr>
            <w:tcW w:w="292" w:type="pct"/>
            <w:tcBorders>
              <w:top w:val="nil"/>
              <w:left w:val="nil"/>
              <w:bottom w:val="nil"/>
              <w:right w:val="nil"/>
            </w:tcBorders>
            <w:shd w:val="clear" w:color="auto" w:fill="65AD82"/>
            <w:noWrap/>
            <w:vAlign w:val="center"/>
          </w:tcPr>
          <w:p w:rsidR="00675F1C" w:rsidRPr="00675F1C" w:rsidRDefault="00675F1C" w:rsidP="00675F1C">
            <w:pPr>
              <w:jc w:val="center"/>
              <w:rPr>
                <w:b/>
                <w:color w:val="FFFFFF" w:themeColor="background1"/>
                <w:sz w:val="16"/>
                <w:szCs w:val="16"/>
              </w:rPr>
            </w:pPr>
            <w:r w:rsidRPr="00675F1C">
              <w:rPr>
                <w:b/>
                <w:color w:val="FFFFFF" w:themeColor="background1"/>
                <w:sz w:val="16"/>
                <w:szCs w:val="16"/>
              </w:rPr>
              <w:t>0,0</w:t>
            </w:r>
          </w:p>
        </w:tc>
        <w:tc>
          <w:tcPr>
            <w:tcW w:w="298" w:type="pct"/>
            <w:tcBorders>
              <w:top w:val="nil"/>
              <w:left w:val="nil"/>
              <w:bottom w:val="nil"/>
              <w:right w:val="nil"/>
            </w:tcBorders>
            <w:shd w:val="clear" w:color="auto" w:fill="65AD82"/>
            <w:noWrap/>
            <w:vAlign w:val="center"/>
          </w:tcPr>
          <w:p w:rsidR="00675F1C" w:rsidRPr="00675F1C" w:rsidRDefault="00675F1C" w:rsidP="00675F1C">
            <w:pPr>
              <w:jc w:val="center"/>
              <w:rPr>
                <w:b/>
                <w:color w:val="FFFFFF" w:themeColor="background1"/>
                <w:sz w:val="16"/>
                <w:szCs w:val="16"/>
              </w:rPr>
            </w:pPr>
            <w:r w:rsidRPr="00675F1C">
              <w:rPr>
                <w:b/>
                <w:color w:val="FFFFFF" w:themeColor="background1"/>
                <w:sz w:val="16"/>
                <w:szCs w:val="16"/>
              </w:rPr>
              <w:t>0,0</w:t>
            </w:r>
          </w:p>
        </w:tc>
        <w:tc>
          <w:tcPr>
            <w:tcW w:w="354" w:type="pct"/>
            <w:tcBorders>
              <w:top w:val="nil"/>
              <w:left w:val="nil"/>
              <w:bottom w:val="nil"/>
              <w:right w:val="nil"/>
            </w:tcBorders>
            <w:shd w:val="clear" w:color="auto" w:fill="65AD82"/>
            <w:noWrap/>
            <w:vAlign w:val="center"/>
          </w:tcPr>
          <w:p w:rsidR="00675F1C" w:rsidRPr="00675F1C" w:rsidRDefault="00675F1C" w:rsidP="00675F1C">
            <w:pPr>
              <w:jc w:val="center"/>
              <w:rPr>
                <w:b/>
                <w:color w:val="FFFFFF" w:themeColor="background1"/>
                <w:sz w:val="16"/>
                <w:szCs w:val="16"/>
              </w:rPr>
            </w:pPr>
            <w:r w:rsidRPr="00675F1C">
              <w:rPr>
                <w:b/>
                <w:color w:val="FFFFFF" w:themeColor="background1"/>
                <w:sz w:val="16"/>
                <w:szCs w:val="16"/>
              </w:rPr>
              <w:t>0,0</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675F1C" w:rsidP="00BA3611">
            <w:pPr>
              <w:jc w:val="right"/>
              <w:rPr>
                <w:rFonts w:eastAsia="Times New Roman" w:cs="Arial"/>
                <w:b/>
                <w:sz w:val="18"/>
                <w:szCs w:val="18"/>
                <w:lang w:eastAsia="es-ES"/>
              </w:rPr>
            </w:pPr>
            <w:r>
              <w:rPr>
                <w:rFonts w:eastAsia="Times New Roman" w:cs="Arial"/>
                <w:b/>
                <w:sz w:val="18"/>
                <w:szCs w:val="18"/>
                <w:lang w:eastAsia="es-ES"/>
              </w:rPr>
              <w:t>58,0</w:t>
            </w:r>
          </w:p>
        </w:tc>
      </w:tr>
    </w:tbl>
    <w:p w:rsidR="00FA5AFD" w:rsidRDefault="00FA5AFD" w:rsidP="00F05E2C">
      <w:pPr>
        <w:pStyle w:val="Cuerpodelboletn"/>
        <w:rPr>
          <w:lang w:bidi="es-ES"/>
        </w:rPr>
      </w:pPr>
    </w:p>
    <w:p w:rsidR="00714C54" w:rsidRDefault="00714C54" w:rsidP="00F05E2C">
      <w:pPr>
        <w:pStyle w:val="Cuerpodelboletn"/>
      </w:pPr>
    </w:p>
    <w:p w:rsidR="005022EF" w:rsidRDefault="005022EF" w:rsidP="005022EF">
      <w:pPr>
        <w:pStyle w:val="Cuerpodelboletn"/>
        <w:rPr>
          <w:lang w:bidi="es-ES"/>
        </w:rPr>
      </w:pPr>
    </w:p>
    <w:p w:rsidR="005022EF" w:rsidRDefault="005022EF" w:rsidP="005022EF">
      <w:pPr>
        <w:pStyle w:val="Cuerpodelboletn"/>
        <w:rPr>
          <w:lang w:bidi="es-ES"/>
        </w:rPr>
      </w:pPr>
    </w:p>
    <w:p w:rsidR="00A24E51" w:rsidRDefault="005022EF" w:rsidP="00F05E2C">
      <w:pPr>
        <w:pStyle w:val="Cuerpodelboletn"/>
        <w:rPr>
          <w:lang w:bidi="es-ES"/>
        </w:rPr>
      </w:pPr>
      <w:r>
        <w:rPr>
          <w:lang w:bidi="es-ES"/>
        </w:rPr>
        <w:t xml:space="preserve">El Índice de Cumplimiento de la Información Obligatoria (ICIO) alcanzado por el </w:t>
      </w:r>
      <w:r w:rsidRPr="005022EF">
        <w:rPr>
          <w:lang w:bidi="es-ES"/>
        </w:rPr>
        <w:t>CGCHCP</w:t>
      </w:r>
      <w:r>
        <w:rPr>
          <w:lang w:bidi="es-ES"/>
        </w:rPr>
        <w:t xml:space="preserve"> alcanza un </w:t>
      </w:r>
      <w:r>
        <w:rPr>
          <w:lang w:bidi="es-ES"/>
        </w:rPr>
        <w:t>58</w:t>
      </w:r>
      <w:r>
        <w:rPr>
          <w:lang w:bidi="es-ES"/>
        </w:rPr>
        <w:t>% de cumplimiento.</w:t>
      </w:r>
    </w:p>
    <w:p w:rsidR="005022EF" w:rsidRDefault="005022EF" w:rsidP="00F05E2C">
      <w:pPr>
        <w:pStyle w:val="Cuerpodelboletn"/>
        <w:rPr>
          <w:lang w:bidi="es-ES"/>
        </w:rPr>
        <w:sectPr w:rsidR="005022EF" w:rsidSect="003F6EDC">
          <w:type w:val="continuous"/>
          <w:pgSz w:w="11906" w:h="16838" w:code="9"/>
          <w:pgMar w:top="1440" w:right="720" w:bottom="1440" w:left="720" w:header="720" w:footer="720" w:gutter="0"/>
          <w:cols w:space="720"/>
          <w:docGrid w:linePitch="326"/>
        </w:sectPr>
      </w:pP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pPr>
    </w:p>
    <w:p w:rsidR="005022EF" w:rsidRDefault="005022EF" w:rsidP="005022EF">
      <w:pPr>
        <w:pStyle w:val="Cuerpodelboletn"/>
      </w:pPr>
      <w:r>
        <w:t xml:space="preserve">Este CTBG </w:t>
      </w:r>
      <w:r w:rsidRPr="0010260A">
        <w:rPr>
          <w:b/>
        </w:rPr>
        <w:t>valora muy positivamente</w:t>
      </w:r>
      <w:r>
        <w:t xml:space="preserve"> el esfuerzo realizado por el </w:t>
      </w:r>
      <w:r w:rsidRPr="005022EF">
        <w:t xml:space="preserve">CGCHCP </w:t>
      </w:r>
      <w:r>
        <w:t xml:space="preserve">para mejorar el cumplimiento de las obligaciones de publicidad activa. Se ha aplicado el </w:t>
      </w:r>
      <w:r>
        <w:t>75</w:t>
      </w:r>
      <w:r>
        <w:t xml:space="preserve">% de las recomendaciones efectuadas, lo que ha tenido un más que notable reflejo en el ICIO alcanzado. Si en la evaluación de 2020 el ICIO se situaba en un </w:t>
      </w:r>
      <w:r>
        <w:t>17,6</w:t>
      </w:r>
      <w:r>
        <w:t xml:space="preserve">%, en 2021 alcanza el </w:t>
      </w:r>
      <w:r>
        <w:t>58</w:t>
      </w:r>
      <w:r>
        <w:t xml:space="preserve">%, con un incremento de </w:t>
      </w:r>
      <w:r>
        <w:t>40,4</w:t>
      </w:r>
      <w:r>
        <w:t xml:space="preserve"> puntos porcentuales. </w:t>
      </w:r>
    </w:p>
    <w:p w:rsidR="005022EF" w:rsidRDefault="005022EF" w:rsidP="005022EF">
      <w:pPr>
        <w:pStyle w:val="Cuerpodelboletn"/>
        <w:sectPr w:rsidR="005022EF" w:rsidSect="00C259F4">
          <w:type w:val="continuous"/>
          <w:pgSz w:w="11906" w:h="16838" w:code="9"/>
          <w:pgMar w:top="1440" w:right="720" w:bottom="1440" w:left="720" w:header="720" w:footer="720" w:gutter="0"/>
          <w:cols w:space="720"/>
          <w:docGrid w:linePitch="326"/>
        </w:sectPr>
      </w:pPr>
    </w:p>
    <w:p w:rsidR="005022EF" w:rsidRDefault="005022EF" w:rsidP="005022EF">
      <w:pPr>
        <w:pStyle w:val="Sinespaciado"/>
        <w:spacing w:line="276" w:lineRule="auto"/>
        <w:jc w:val="both"/>
        <w:rPr>
          <w:rFonts w:ascii="Century Gothic" w:hAnsi="Century Gothic"/>
        </w:rPr>
      </w:pPr>
    </w:p>
    <w:p w:rsidR="005022EF" w:rsidRDefault="005022EF" w:rsidP="005022EF">
      <w:pPr>
        <w:pStyle w:val="Sinespaciado"/>
        <w:spacing w:line="276" w:lineRule="auto"/>
        <w:jc w:val="both"/>
        <w:rPr>
          <w:rFonts w:ascii="Century Gothic" w:hAnsi="Century Gothic"/>
        </w:rPr>
      </w:pPr>
      <w:r>
        <w:rPr>
          <w:rFonts w:ascii="Century Gothic" w:hAnsi="Century Gothic"/>
        </w:rPr>
        <w:t>Madrid, junio de 2021</w:t>
      </w:r>
    </w:p>
    <w:p w:rsidR="005022EF" w:rsidRDefault="005022EF" w:rsidP="00965C69">
      <w:pPr>
        <w:pStyle w:val="Cuerpodelboletn"/>
        <w:sectPr w:rsidR="005022EF"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5022EF" w:rsidRDefault="005022EF" w:rsidP="00C61E7F">
      <w:pPr>
        <w:pStyle w:val="Sinespaciado"/>
        <w:spacing w:line="276" w:lineRule="auto"/>
        <w:jc w:val="both"/>
        <w:rPr>
          <w:rFonts w:ascii="Century Gothic" w:hAnsi="Century Gothic"/>
        </w:rPr>
      </w:pPr>
    </w:p>
    <w:p w:rsidR="005022EF" w:rsidRDefault="005022EF" w:rsidP="00C61E7F">
      <w:pPr>
        <w:pStyle w:val="Sinespaciado"/>
        <w:spacing w:line="276" w:lineRule="auto"/>
        <w:jc w:val="both"/>
        <w:rPr>
          <w:rFonts w:ascii="Century Gothic" w:hAnsi="Century Gothic"/>
        </w:rPr>
      </w:pPr>
    </w:p>
    <w:p w:rsidR="005022EF" w:rsidRDefault="005022EF" w:rsidP="00C61E7F">
      <w:pPr>
        <w:pStyle w:val="Sinespaciado"/>
        <w:spacing w:line="276" w:lineRule="auto"/>
        <w:jc w:val="both"/>
        <w:rPr>
          <w:rFonts w:ascii="Century Gothic" w:hAnsi="Century Gothic"/>
        </w:rPr>
      </w:pPr>
    </w:p>
    <w:p w:rsidR="005022EF" w:rsidRDefault="005022EF" w:rsidP="00C61E7F">
      <w:pPr>
        <w:pStyle w:val="Sinespaciado"/>
        <w:spacing w:line="276" w:lineRule="auto"/>
        <w:jc w:val="both"/>
        <w:rPr>
          <w:rFonts w:ascii="Century Gothic" w:hAnsi="Century Gothic"/>
        </w:rPr>
      </w:pPr>
    </w:p>
    <w:p w:rsidR="005022EF" w:rsidRDefault="005022EF" w:rsidP="00C61E7F">
      <w:pPr>
        <w:pStyle w:val="Sinespaciado"/>
        <w:spacing w:line="276" w:lineRule="auto"/>
        <w:jc w:val="both"/>
        <w:rPr>
          <w:rFonts w:ascii="Century Gothic" w:hAnsi="Century Gothic"/>
        </w:rPr>
      </w:pPr>
    </w:p>
    <w:p w:rsidR="005022EF" w:rsidRDefault="005022EF" w:rsidP="00C61E7F">
      <w:pPr>
        <w:pStyle w:val="Sinespaciado"/>
        <w:spacing w:line="276" w:lineRule="auto"/>
        <w:jc w:val="both"/>
        <w:rPr>
          <w:rFonts w:ascii="Century Gothic" w:hAnsi="Century Gothic"/>
        </w:rPr>
      </w:pPr>
    </w:p>
    <w:p w:rsidR="005022EF" w:rsidRDefault="005022EF" w:rsidP="00C61E7F">
      <w:pPr>
        <w:pStyle w:val="Sinespaciado"/>
        <w:spacing w:line="276" w:lineRule="auto"/>
        <w:jc w:val="both"/>
        <w:rPr>
          <w:rFonts w:ascii="Century Gothic" w:hAnsi="Century Gothic"/>
        </w:rPr>
      </w:pPr>
    </w:p>
    <w:p w:rsidR="005022EF" w:rsidRDefault="005022EF" w:rsidP="00C61E7F">
      <w:pPr>
        <w:pStyle w:val="Sinespaciado"/>
        <w:spacing w:line="276" w:lineRule="auto"/>
        <w:jc w:val="both"/>
        <w:rPr>
          <w:rFonts w:ascii="Century Gothic" w:hAnsi="Century Gothic"/>
        </w:rPr>
      </w:pPr>
    </w:p>
    <w:p w:rsidR="005022EF" w:rsidRDefault="005022EF" w:rsidP="00C61E7F">
      <w:pPr>
        <w:pStyle w:val="Sinespaciado"/>
        <w:spacing w:line="276" w:lineRule="auto"/>
        <w:jc w:val="both"/>
        <w:rPr>
          <w:rFonts w:ascii="Century Gothic" w:hAnsi="Century Gothic"/>
        </w:rPr>
      </w:pPr>
    </w:p>
    <w:p w:rsidR="005022EF" w:rsidRDefault="005022EF" w:rsidP="00C61E7F">
      <w:pPr>
        <w:pStyle w:val="Sinespaciado"/>
        <w:spacing w:line="276" w:lineRule="auto"/>
        <w:jc w:val="both"/>
        <w:rPr>
          <w:rFonts w:ascii="Century Gothic" w:hAnsi="Century Gothic"/>
        </w:rPr>
      </w:pPr>
    </w:p>
    <w:p w:rsidR="005022EF" w:rsidRDefault="005022EF" w:rsidP="00C61E7F">
      <w:pPr>
        <w:pStyle w:val="Sinespaciado"/>
        <w:spacing w:line="276" w:lineRule="auto"/>
        <w:jc w:val="both"/>
        <w:rPr>
          <w:rFonts w:ascii="Century Gothic" w:hAnsi="Century Gothic"/>
        </w:rPr>
      </w:pPr>
    </w:p>
    <w:p w:rsidR="005022EF" w:rsidRDefault="005022EF" w:rsidP="00C61E7F">
      <w:pPr>
        <w:pStyle w:val="Sinespaciado"/>
        <w:spacing w:line="276" w:lineRule="auto"/>
        <w:jc w:val="both"/>
        <w:rPr>
          <w:rFonts w:ascii="Century Gothic" w:hAnsi="Century Gothic"/>
        </w:rPr>
      </w:pPr>
    </w:p>
    <w:p w:rsidR="005022EF" w:rsidRDefault="005022EF" w:rsidP="00C61E7F">
      <w:pPr>
        <w:pStyle w:val="Sinespaciado"/>
        <w:spacing w:line="276" w:lineRule="auto"/>
        <w:jc w:val="both"/>
        <w:rPr>
          <w:rFonts w:ascii="Century Gothic" w:hAnsi="Century Gothic"/>
        </w:rPr>
      </w:pPr>
    </w:p>
    <w:p w:rsidR="005022EF" w:rsidRDefault="005022EF" w:rsidP="00C61E7F">
      <w:pPr>
        <w:pStyle w:val="Sinespaciado"/>
        <w:spacing w:line="276" w:lineRule="auto"/>
        <w:jc w:val="both"/>
        <w:rPr>
          <w:rFonts w:ascii="Century Gothic" w:hAnsi="Century Gothic"/>
        </w:rPr>
      </w:pPr>
    </w:p>
    <w:p w:rsidR="005022EF" w:rsidRDefault="005022EF" w:rsidP="00C61E7F">
      <w:pPr>
        <w:pStyle w:val="Sinespaciado"/>
        <w:spacing w:line="276" w:lineRule="auto"/>
        <w:jc w:val="both"/>
        <w:rPr>
          <w:rFonts w:ascii="Century Gothic" w:hAnsi="Century Gothic"/>
        </w:rPr>
      </w:pPr>
    </w:p>
    <w:p w:rsidR="005022EF" w:rsidRDefault="005022EF" w:rsidP="00C61E7F">
      <w:pPr>
        <w:pStyle w:val="Sinespaciado"/>
        <w:spacing w:line="276" w:lineRule="auto"/>
        <w:jc w:val="both"/>
        <w:rPr>
          <w:rFonts w:ascii="Century Gothic" w:hAnsi="Century Gothic"/>
        </w:rPr>
      </w:pPr>
      <w:bookmarkStart w:id="1" w:name="_GoBack"/>
      <w:bookmarkEnd w:id="1"/>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9654DA" w:rsidRPr="002D27E4" w:rsidRDefault="005022EF" w:rsidP="00AE4F68">
      <w:pPr>
        <w:pStyle w:val="Cuerpodelboletn"/>
        <w:jc w:val="center"/>
        <w:rPr>
          <w:b/>
          <w:sz w:val="30"/>
          <w:szCs w:val="30"/>
        </w:rPr>
      </w:pPr>
      <w:r>
        <w:rPr>
          <w:rFonts w:ascii="Arial" w:eastAsia="Arial" w:hAnsi="Arial" w:cs="Arial"/>
          <w:noProof/>
          <w:lang w:eastAsia="es-ES"/>
        </w:rPr>
        <w:lastRenderedPageBreak/>
        <w:pict>
          <v:rect id="Rectángulo 19" o:spid="_x0000_s1034" style="position:absolute;left:0;text-align:left;margin-left:0;margin-top:78.95pt;width:630pt;height:13.7pt;z-index:251720704;visibility:visible;mso-position-horizontal-relative:page;mso-position-vertical-relative:page" wrapcoords="-26 0 -26 20400 21600 20400 21600 0 -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w:r>
      <w:r>
        <w:rPr>
          <w:rFonts w:ascii="Arial" w:eastAsia="Arial" w:hAnsi="Arial" w:cs="Arial"/>
          <w:noProof/>
          <w:lang w:eastAsia="es-ES"/>
        </w:rPr>
        <w:pict>
          <v:rect id="_x0000_s1031" style="position:absolute;left:0;text-align:left;margin-left:0;margin-top:.5pt;width:630pt;height:78pt;z-index:251718656;visibility:visible;mso-position-horizontal-relative:page;mso-position-vertical-relative:page" wrapcoords="-26 0 -26 21392 21600 21392 21600 0 -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Wuvn8OAgAA&#10;CgQAAA4AAAAAAAAAAAAAAAAALgIAAGRycy9lMm9Eb2MueG1sUEsBAi0AFAAGAAgAAAAhACLvoFPc&#10;AAAABwEAAA8AAAAAAAAAAAAAAAAAaAQAAGRycy9kb3ducmV2LnhtbFBLBQYAAAAABAAEAPMAAABx&#10;BQAAAAA=&#10;" fillcolor="#50866c" stroked="f">
            <v:textbox inset=",7.2pt,,7.2pt">
              <w:txbxContent>
                <w:p w:rsidR="00C02953" w:rsidRPr="00F31BC3" w:rsidRDefault="00C02953" w:rsidP="002D27E4">
                  <w:r w:rsidRPr="00965C69">
                    <w:rPr>
                      <w:noProof/>
                      <w:lang w:eastAsia="es-ES"/>
                    </w:rPr>
                    <w:drawing>
                      <wp:inline distT="0" distB="0" distL="0" distR="0">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w:r>
      <w:sdt>
        <w:sdtPr>
          <w:rPr>
            <w:b/>
            <w:color w:val="auto"/>
            <w:sz w:val="30"/>
            <w:szCs w:val="30"/>
          </w:rPr>
          <w:id w:val="1557966967"/>
          <w:placeholder>
            <w:docPart w:val="7DA330511B8B4D6795F908DB48ABF5A1"/>
          </w:placeholder>
        </w:sdtPr>
        <w:sdtEndPr/>
        <w:sdtContent>
          <w:r>
            <w:rPr>
              <w:rFonts w:ascii="Arial" w:eastAsia="Arial" w:hAnsi="Arial" w:cs="Arial"/>
              <w:noProof/>
              <w:lang w:eastAsia="es-ES"/>
            </w:rPr>
            <w:pict>
              <v:rect id="_x0000_s1033" style="position:absolute;left:0;text-align:left;margin-left:-.75pt;margin-top:78.2pt;width:630pt;height:13.7pt;z-index:251724800;visibility:visible;mso-position-horizontal-relative:page;mso-position-vertical-relative:page" wrapcoords="-26 0 -26 20400 21600 20400 21600 0 -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w:r>
          <w:r>
            <w:rPr>
              <w:rFonts w:ascii="Arial" w:eastAsia="Arial" w:hAnsi="Arial" w:cs="Arial"/>
              <w:noProof/>
              <w:lang w:eastAsia="es-ES"/>
            </w:rPr>
            <w:pict>
              <v:rect id="_x0000_s1032" style="position:absolute;left:0;text-align:left;margin-left:-.75pt;margin-top:-.25pt;width:630pt;height:78pt;z-index:251722752;visibility:visible;mso-position-horizontal-relative:page;mso-position-vertical-relative:page" wrapcoords="-26 0 -26 21392 21600 21392 21600 0 -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7EAIAAAo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J4dRKzhuaJBEGYFpI+EBk94HfORlrGivtvO4GKM/POkqir4uoqbu+lg5dOfekIKwmq4oGzydyG&#10;aeN3DnXXU6Ui6WPhhgbR6qRRZDyxOo6PFi6pfPwccaMv/RT16wtvng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8q1rsQ&#10;AgAACgQAAA4AAAAAAAAAAAAAAAAALgIAAGRycy9lMm9Eb2MueG1sUEsBAi0AFAAGAAgAAAAhAAQI&#10;aEHdAAAACQEAAA8AAAAAAAAAAAAAAAAAagQAAGRycy9kb3ducmV2LnhtbFBLBQYAAAAABAAEAPMA&#10;AAB0BQAAAAA=&#10;" fillcolor="#50866c" stroked="f">
                <v:textbox inset=",7.2pt,,7.2pt">
                  <w:txbxContent>
                    <w:p w:rsidR="00C02953" w:rsidRPr="00F31BC3" w:rsidRDefault="00C02953" w:rsidP="002D27E4">
                      <w:r w:rsidRPr="00965C69">
                        <w:rPr>
                          <w:noProof/>
                          <w:lang w:eastAsia="es-ES"/>
                        </w:rPr>
                        <w:drawing>
                          <wp:inline distT="0" distB="0" distL="0" distR="0">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40" w:rsidRDefault="00616140" w:rsidP="00F31BC3">
      <w:r>
        <w:separator/>
      </w:r>
    </w:p>
  </w:endnote>
  <w:endnote w:type="continuationSeparator" w:id="0">
    <w:p w:rsidR="00616140" w:rsidRDefault="00616140"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40" w:rsidRDefault="00616140" w:rsidP="00F31BC3">
      <w:r>
        <w:separator/>
      </w:r>
    </w:p>
  </w:footnote>
  <w:footnote w:type="continuationSeparator" w:id="0">
    <w:p w:rsidR="00616140" w:rsidRDefault="00616140"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49B1"/>
    <w:rsid w:val="00132732"/>
    <w:rsid w:val="00146C3C"/>
    <w:rsid w:val="00164876"/>
    <w:rsid w:val="001763F8"/>
    <w:rsid w:val="00183301"/>
    <w:rsid w:val="00187CDD"/>
    <w:rsid w:val="0019448F"/>
    <w:rsid w:val="001A0DA8"/>
    <w:rsid w:val="001A5305"/>
    <w:rsid w:val="001C2217"/>
    <w:rsid w:val="001C3E2F"/>
    <w:rsid w:val="001C4509"/>
    <w:rsid w:val="001C7C78"/>
    <w:rsid w:val="001C7D84"/>
    <w:rsid w:val="001E5AAD"/>
    <w:rsid w:val="0021682B"/>
    <w:rsid w:val="00231D61"/>
    <w:rsid w:val="00243294"/>
    <w:rsid w:val="00244EDA"/>
    <w:rsid w:val="002467FA"/>
    <w:rsid w:val="00263F79"/>
    <w:rsid w:val="002D0702"/>
    <w:rsid w:val="002D27E4"/>
    <w:rsid w:val="002E409F"/>
    <w:rsid w:val="002F06DC"/>
    <w:rsid w:val="0031769F"/>
    <w:rsid w:val="0034752C"/>
    <w:rsid w:val="00347877"/>
    <w:rsid w:val="00355DC0"/>
    <w:rsid w:val="003A1694"/>
    <w:rsid w:val="003A390C"/>
    <w:rsid w:val="003B399C"/>
    <w:rsid w:val="003B57E6"/>
    <w:rsid w:val="003B6B96"/>
    <w:rsid w:val="003D2C4A"/>
    <w:rsid w:val="003E564B"/>
    <w:rsid w:val="003E5D2F"/>
    <w:rsid w:val="003F6EDC"/>
    <w:rsid w:val="00415DBD"/>
    <w:rsid w:val="00422B18"/>
    <w:rsid w:val="004720A5"/>
    <w:rsid w:val="0047735C"/>
    <w:rsid w:val="004859CC"/>
    <w:rsid w:val="004A1663"/>
    <w:rsid w:val="004C6440"/>
    <w:rsid w:val="004D50CC"/>
    <w:rsid w:val="004D7037"/>
    <w:rsid w:val="004E7B33"/>
    <w:rsid w:val="005022EF"/>
    <w:rsid w:val="00506864"/>
    <w:rsid w:val="005301DF"/>
    <w:rsid w:val="00536832"/>
    <w:rsid w:val="00563295"/>
    <w:rsid w:val="00564E23"/>
    <w:rsid w:val="00582A8C"/>
    <w:rsid w:val="005B1544"/>
    <w:rsid w:val="005C4778"/>
    <w:rsid w:val="005E2505"/>
    <w:rsid w:val="005E6704"/>
    <w:rsid w:val="00603DFC"/>
    <w:rsid w:val="00607613"/>
    <w:rsid w:val="00616140"/>
    <w:rsid w:val="006266A5"/>
    <w:rsid w:val="00633EAA"/>
    <w:rsid w:val="00675F1C"/>
    <w:rsid w:val="0069673B"/>
    <w:rsid w:val="006B75D8"/>
    <w:rsid w:val="006C0CDD"/>
    <w:rsid w:val="006D49E7"/>
    <w:rsid w:val="006D4C90"/>
    <w:rsid w:val="006E75DE"/>
    <w:rsid w:val="007071A8"/>
    <w:rsid w:val="00707515"/>
    <w:rsid w:val="00707C14"/>
    <w:rsid w:val="00714C54"/>
    <w:rsid w:val="00717272"/>
    <w:rsid w:val="0073626B"/>
    <w:rsid w:val="00751FAA"/>
    <w:rsid w:val="00760E4B"/>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7495"/>
    <w:rsid w:val="00821526"/>
    <w:rsid w:val="0082470D"/>
    <w:rsid w:val="00825ACB"/>
    <w:rsid w:val="00882A5B"/>
    <w:rsid w:val="00891E6F"/>
    <w:rsid w:val="00894358"/>
    <w:rsid w:val="0089455A"/>
    <w:rsid w:val="00897D04"/>
    <w:rsid w:val="008A5AAE"/>
    <w:rsid w:val="008D6E75"/>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06BF1"/>
    <w:rsid w:val="00A1361E"/>
    <w:rsid w:val="00A24E51"/>
    <w:rsid w:val="00A51AAD"/>
    <w:rsid w:val="00A82709"/>
    <w:rsid w:val="00AA0AE1"/>
    <w:rsid w:val="00AC2723"/>
    <w:rsid w:val="00AC4A6F"/>
    <w:rsid w:val="00AD6065"/>
    <w:rsid w:val="00AE4F68"/>
    <w:rsid w:val="00AE6A4F"/>
    <w:rsid w:val="00AF0E39"/>
    <w:rsid w:val="00AF5151"/>
    <w:rsid w:val="00B1184C"/>
    <w:rsid w:val="00B220EC"/>
    <w:rsid w:val="00B5314A"/>
    <w:rsid w:val="00B56A3A"/>
    <w:rsid w:val="00B77C12"/>
    <w:rsid w:val="00B85EA1"/>
    <w:rsid w:val="00B87734"/>
    <w:rsid w:val="00B9048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91330"/>
    <w:rsid w:val="00CB6837"/>
    <w:rsid w:val="00CC48E8"/>
    <w:rsid w:val="00CD3DE8"/>
    <w:rsid w:val="00CF21EB"/>
    <w:rsid w:val="00D014E1"/>
    <w:rsid w:val="00D01CA1"/>
    <w:rsid w:val="00D1453D"/>
    <w:rsid w:val="00D41F4C"/>
    <w:rsid w:val="00D45F5C"/>
    <w:rsid w:val="00D47C80"/>
    <w:rsid w:val="00D520C8"/>
    <w:rsid w:val="00D70570"/>
    <w:rsid w:val="00D9090A"/>
    <w:rsid w:val="00D96084"/>
    <w:rsid w:val="00DA6660"/>
    <w:rsid w:val="00DC5B52"/>
    <w:rsid w:val="00DD515F"/>
    <w:rsid w:val="00DF25D7"/>
    <w:rsid w:val="00DF555F"/>
    <w:rsid w:val="00E023B5"/>
    <w:rsid w:val="00E17DF6"/>
    <w:rsid w:val="00E33169"/>
    <w:rsid w:val="00E51AC4"/>
    <w:rsid w:val="00E6528C"/>
    <w:rsid w:val="00E73F4D"/>
    <w:rsid w:val="00E83650"/>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E3DE6"/>
    <w:rsid w:val="00583D19"/>
    <w:rsid w:val="00787EBD"/>
    <w:rsid w:val="00870492"/>
    <w:rsid w:val="008E118A"/>
    <w:rsid w:val="00A104A7"/>
    <w:rsid w:val="00AB484A"/>
    <w:rsid w:val="00C32372"/>
    <w:rsid w:val="00DE3DE6"/>
    <w:rsid w:val="00EB2177"/>
    <w:rsid w:val="00EF5732"/>
    <w:rsid w:val="00F0267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4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rsid w:val="00870492"/>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BD9C237F-ABEC-46A7-B1E3-0393B872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60</TotalTime>
  <Pages>4</Pages>
  <Words>806</Words>
  <Characters>4434</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7</cp:revision>
  <cp:lastPrinted>2008-09-26T23:14:00Z</cp:lastPrinted>
  <dcterms:created xsi:type="dcterms:W3CDTF">2021-01-22T08:58:00Z</dcterms:created>
  <dcterms:modified xsi:type="dcterms:W3CDTF">2021-09-01T10:44:00Z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