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524DF8" w:rsidRDefault="00524DF8"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0A6CDA">
                                  <w:rPr>
                                    <w:rFonts w:ascii="Century Gothic" w:hAnsi="Century Gothic"/>
                                    <w:sz w:val="40"/>
                                    <w:szCs w:val="40"/>
                                    <w:lang w:bidi="es-ES"/>
                                  </w:rPr>
                                  <w:t xml:space="preserve">Consejo General de </w:t>
                                </w:r>
                                <w:r w:rsidRPr="000B7BC3">
                                  <w:rPr>
                                    <w:rFonts w:ascii="Century Gothic" w:hAnsi="Century Gothic"/>
                                    <w:sz w:val="40"/>
                                    <w:szCs w:val="40"/>
                                    <w:lang w:bidi="es-ES"/>
                                  </w:rPr>
                                  <w:t>Colegios Oficiales de Médicos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Content>
                        <w:p w:rsidR="00524DF8" w:rsidRDefault="00524DF8"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0A6CDA">
                            <w:rPr>
                              <w:rFonts w:ascii="Century Gothic" w:hAnsi="Century Gothic"/>
                              <w:sz w:val="40"/>
                              <w:szCs w:val="40"/>
                              <w:lang w:bidi="es-ES"/>
                            </w:rPr>
                            <w:t xml:space="preserve">Consejo General de </w:t>
                          </w:r>
                          <w:r w:rsidRPr="000B7BC3">
                            <w:rPr>
                              <w:rFonts w:ascii="Century Gothic" w:hAnsi="Century Gothic"/>
                              <w:sz w:val="40"/>
                              <w:szCs w:val="40"/>
                              <w:lang w:bidi="es-ES"/>
                            </w:rPr>
                            <w:t>Colegios Oficiales de Médicos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524DF8" w:rsidRDefault="00524DF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524DF8" w:rsidRDefault="00524DF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FF2695"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0A6CDA" w:rsidP="00183301">
            <w:pPr>
              <w:jc w:val="center"/>
              <w:rPr>
                <w:sz w:val="20"/>
                <w:szCs w:val="20"/>
              </w:rPr>
            </w:pPr>
            <w:r>
              <w:rPr>
                <w:sz w:val="20"/>
                <w:szCs w:val="20"/>
              </w:rPr>
              <w:t>X</w:t>
            </w:r>
          </w:p>
        </w:tc>
        <w:tc>
          <w:tcPr>
            <w:tcW w:w="3203" w:type="dxa"/>
          </w:tcPr>
          <w:p w:rsidR="00183301" w:rsidRPr="007942B7" w:rsidRDefault="00FF2695" w:rsidP="007942B7">
            <w:pPr>
              <w:rPr>
                <w:sz w:val="20"/>
                <w:szCs w:val="20"/>
              </w:rPr>
            </w:pPr>
            <w:r>
              <w:rPr>
                <w:sz w:val="20"/>
                <w:szCs w:val="20"/>
              </w:rPr>
              <w:t>Si</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023BA1">
            <w:pPr>
              <w:rPr>
                <w:sz w:val="20"/>
                <w:szCs w:val="20"/>
              </w:rPr>
            </w:pPr>
            <w:r w:rsidRPr="007942B7">
              <w:rPr>
                <w:sz w:val="20"/>
                <w:szCs w:val="20"/>
              </w:rPr>
              <w:t>Estructuración conforme a LTAIBG</w:t>
            </w:r>
            <w:r w:rsidR="00C76A23">
              <w:rPr>
                <w:sz w:val="20"/>
                <w:szCs w:val="20"/>
              </w:rPr>
              <w:t xml:space="preserve"> </w:t>
            </w:r>
          </w:p>
        </w:tc>
        <w:tc>
          <w:tcPr>
            <w:tcW w:w="567" w:type="dxa"/>
            <w:vAlign w:val="center"/>
          </w:tcPr>
          <w:p w:rsidR="00183301" w:rsidRPr="007942B7" w:rsidRDefault="000A6CDA" w:rsidP="00183301">
            <w:pPr>
              <w:jc w:val="center"/>
              <w:rPr>
                <w:sz w:val="20"/>
                <w:szCs w:val="20"/>
              </w:rPr>
            </w:pPr>
            <w:r>
              <w:rPr>
                <w:sz w:val="20"/>
                <w:szCs w:val="20"/>
              </w:rPr>
              <w:t>X</w:t>
            </w:r>
          </w:p>
        </w:tc>
        <w:tc>
          <w:tcPr>
            <w:tcW w:w="3203" w:type="dxa"/>
          </w:tcPr>
          <w:p w:rsidR="00183301" w:rsidRPr="007942B7" w:rsidRDefault="00524DF8" w:rsidP="00A1361E">
            <w:pPr>
              <w:rPr>
                <w:sz w:val="20"/>
                <w:szCs w:val="20"/>
              </w:rPr>
            </w:pPr>
            <w:r>
              <w:rPr>
                <w:sz w:val="20"/>
                <w:szCs w:val="20"/>
              </w:rPr>
              <w:t>Si</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0A6CDA" w:rsidRPr="007942B7" w:rsidTr="00FF2695">
        <w:tc>
          <w:tcPr>
            <w:tcW w:w="2093" w:type="dxa"/>
            <w:vMerge w:val="restart"/>
            <w:vAlign w:val="center"/>
          </w:tcPr>
          <w:p w:rsidR="000A6CDA" w:rsidRPr="00AF196B" w:rsidRDefault="000A6CDA" w:rsidP="006D4C90">
            <w:pPr>
              <w:rPr>
                <w:sz w:val="20"/>
                <w:szCs w:val="20"/>
              </w:rPr>
            </w:pPr>
            <w:r w:rsidRPr="00AF196B">
              <w:rPr>
                <w:sz w:val="20"/>
                <w:szCs w:val="20"/>
              </w:rPr>
              <w:t>Publicación de Contenidos</w:t>
            </w:r>
          </w:p>
        </w:tc>
        <w:tc>
          <w:tcPr>
            <w:tcW w:w="4819" w:type="dxa"/>
          </w:tcPr>
          <w:p w:rsidR="000A6CDA" w:rsidRDefault="00766C78" w:rsidP="00E83650">
            <w:pPr>
              <w:rPr>
                <w:sz w:val="20"/>
                <w:szCs w:val="20"/>
              </w:rPr>
            </w:pPr>
            <w:r>
              <w:rPr>
                <w:sz w:val="20"/>
                <w:szCs w:val="20"/>
              </w:rPr>
              <w:t>Normas generales aplicables a los Colegios Profesionales</w:t>
            </w:r>
          </w:p>
        </w:tc>
        <w:tc>
          <w:tcPr>
            <w:tcW w:w="567" w:type="dxa"/>
          </w:tcPr>
          <w:p w:rsidR="000A6CDA" w:rsidRDefault="000A6CDA" w:rsidP="00800B69">
            <w:pPr>
              <w:jc w:val="center"/>
              <w:rPr>
                <w:sz w:val="20"/>
                <w:szCs w:val="20"/>
              </w:rPr>
            </w:pPr>
            <w:r>
              <w:rPr>
                <w:sz w:val="20"/>
                <w:szCs w:val="20"/>
              </w:rPr>
              <w:t>X</w:t>
            </w:r>
          </w:p>
        </w:tc>
        <w:tc>
          <w:tcPr>
            <w:tcW w:w="3203" w:type="dxa"/>
          </w:tcPr>
          <w:p w:rsidR="000A6CDA" w:rsidRPr="007942B7" w:rsidRDefault="00FF2695" w:rsidP="00AC4A6F">
            <w:pPr>
              <w:rPr>
                <w:sz w:val="20"/>
                <w:szCs w:val="20"/>
              </w:rPr>
            </w:pPr>
            <w:r>
              <w:rPr>
                <w:sz w:val="20"/>
                <w:szCs w:val="20"/>
              </w:rPr>
              <w:t>Si</w:t>
            </w:r>
          </w:p>
        </w:tc>
      </w:tr>
      <w:tr w:rsidR="000A6CDA" w:rsidRPr="007942B7" w:rsidTr="00FF2695">
        <w:tc>
          <w:tcPr>
            <w:tcW w:w="2093" w:type="dxa"/>
            <w:vMerge/>
            <w:vAlign w:val="center"/>
          </w:tcPr>
          <w:p w:rsidR="000A6CDA" w:rsidRPr="00AF196B" w:rsidRDefault="000A6CDA" w:rsidP="006D4C90">
            <w:pPr>
              <w:rPr>
                <w:sz w:val="20"/>
                <w:szCs w:val="20"/>
              </w:rPr>
            </w:pPr>
          </w:p>
        </w:tc>
        <w:tc>
          <w:tcPr>
            <w:tcW w:w="4819" w:type="dxa"/>
          </w:tcPr>
          <w:p w:rsidR="000A6CDA" w:rsidRDefault="000A6CDA" w:rsidP="00E83650">
            <w:pPr>
              <w:rPr>
                <w:sz w:val="20"/>
                <w:szCs w:val="20"/>
              </w:rPr>
            </w:pPr>
            <w:r>
              <w:rPr>
                <w:sz w:val="20"/>
                <w:szCs w:val="20"/>
              </w:rPr>
              <w:t>Organigrama</w:t>
            </w:r>
          </w:p>
        </w:tc>
        <w:tc>
          <w:tcPr>
            <w:tcW w:w="567" w:type="dxa"/>
          </w:tcPr>
          <w:p w:rsidR="000A6CDA" w:rsidRDefault="000A6CDA" w:rsidP="00800B69">
            <w:pPr>
              <w:jc w:val="center"/>
              <w:rPr>
                <w:sz w:val="20"/>
                <w:szCs w:val="20"/>
              </w:rPr>
            </w:pPr>
            <w:r>
              <w:rPr>
                <w:sz w:val="20"/>
                <w:szCs w:val="20"/>
              </w:rPr>
              <w:t>X</w:t>
            </w:r>
          </w:p>
        </w:tc>
        <w:tc>
          <w:tcPr>
            <w:tcW w:w="3203" w:type="dxa"/>
          </w:tcPr>
          <w:p w:rsidR="000A6CDA" w:rsidRPr="007942B7" w:rsidRDefault="00FF2695" w:rsidP="00AC4A6F">
            <w:pPr>
              <w:rPr>
                <w:sz w:val="20"/>
                <w:szCs w:val="20"/>
              </w:rPr>
            </w:pPr>
            <w:r>
              <w:rPr>
                <w:sz w:val="20"/>
                <w:szCs w:val="20"/>
              </w:rPr>
              <w:t>No</w:t>
            </w:r>
          </w:p>
        </w:tc>
      </w:tr>
      <w:tr w:rsidR="000A6CDA" w:rsidRPr="007942B7" w:rsidTr="00D36F77">
        <w:trPr>
          <w:trHeight w:val="359"/>
        </w:trPr>
        <w:tc>
          <w:tcPr>
            <w:tcW w:w="2093" w:type="dxa"/>
            <w:vMerge/>
            <w:vAlign w:val="center"/>
          </w:tcPr>
          <w:p w:rsidR="000A6CDA" w:rsidRPr="00AF196B" w:rsidRDefault="000A6CDA" w:rsidP="006D4C90">
            <w:pPr>
              <w:rPr>
                <w:sz w:val="20"/>
                <w:szCs w:val="20"/>
              </w:rPr>
            </w:pPr>
          </w:p>
        </w:tc>
        <w:tc>
          <w:tcPr>
            <w:tcW w:w="4819" w:type="dxa"/>
          </w:tcPr>
          <w:p w:rsidR="000A6CDA" w:rsidRDefault="000A6CDA" w:rsidP="00E83650">
            <w:pPr>
              <w:rPr>
                <w:sz w:val="20"/>
                <w:szCs w:val="20"/>
              </w:rPr>
            </w:pPr>
            <w:r>
              <w:rPr>
                <w:sz w:val="20"/>
                <w:szCs w:val="20"/>
              </w:rPr>
              <w:t>Contratos</w:t>
            </w:r>
          </w:p>
        </w:tc>
        <w:tc>
          <w:tcPr>
            <w:tcW w:w="567" w:type="dxa"/>
          </w:tcPr>
          <w:p w:rsidR="000A6CDA" w:rsidRDefault="000A6CDA" w:rsidP="00800B69">
            <w:pPr>
              <w:jc w:val="center"/>
              <w:rPr>
                <w:sz w:val="20"/>
                <w:szCs w:val="20"/>
              </w:rPr>
            </w:pPr>
            <w:r>
              <w:rPr>
                <w:sz w:val="20"/>
                <w:szCs w:val="20"/>
              </w:rPr>
              <w:t>X</w:t>
            </w:r>
          </w:p>
        </w:tc>
        <w:tc>
          <w:tcPr>
            <w:tcW w:w="3203" w:type="dxa"/>
          </w:tcPr>
          <w:p w:rsidR="000A6CDA" w:rsidRPr="007942B7" w:rsidRDefault="00FF2695" w:rsidP="00AC4A6F">
            <w:pPr>
              <w:rPr>
                <w:sz w:val="20"/>
                <w:szCs w:val="20"/>
              </w:rPr>
            </w:pPr>
            <w:r>
              <w:rPr>
                <w:sz w:val="20"/>
                <w:szCs w:val="20"/>
              </w:rPr>
              <w:t>No</w:t>
            </w:r>
          </w:p>
        </w:tc>
      </w:tr>
      <w:tr w:rsidR="000A6CDA" w:rsidRPr="007942B7" w:rsidTr="00D36F77">
        <w:trPr>
          <w:trHeight w:val="359"/>
        </w:trPr>
        <w:tc>
          <w:tcPr>
            <w:tcW w:w="2093" w:type="dxa"/>
            <w:vMerge/>
            <w:vAlign w:val="center"/>
          </w:tcPr>
          <w:p w:rsidR="000A6CDA" w:rsidRPr="00AF196B" w:rsidRDefault="000A6CDA" w:rsidP="006D4C90">
            <w:pPr>
              <w:rPr>
                <w:sz w:val="20"/>
                <w:szCs w:val="20"/>
              </w:rPr>
            </w:pPr>
          </w:p>
        </w:tc>
        <w:tc>
          <w:tcPr>
            <w:tcW w:w="4819" w:type="dxa"/>
          </w:tcPr>
          <w:p w:rsidR="000A6CDA" w:rsidRDefault="000A6CDA" w:rsidP="00E83650">
            <w:pPr>
              <w:rPr>
                <w:sz w:val="20"/>
                <w:szCs w:val="20"/>
              </w:rPr>
            </w:pPr>
            <w:r>
              <w:rPr>
                <w:sz w:val="20"/>
                <w:szCs w:val="20"/>
              </w:rPr>
              <w:t>Convenios</w:t>
            </w:r>
          </w:p>
        </w:tc>
        <w:tc>
          <w:tcPr>
            <w:tcW w:w="567" w:type="dxa"/>
          </w:tcPr>
          <w:p w:rsidR="000A6CDA" w:rsidRDefault="000A6CDA" w:rsidP="00800B69">
            <w:pPr>
              <w:jc w:val="center"/>
              <w:rPr>
                <w:sz w:val="20"/>
                <w:szCs w:val="20"/>
              </w:rPr>
            </w:pPr>
            <w:r>
              <w:rPr>
                <w:sz w:val="20"/>
                <w:szCs w:val="20"/>
              </w:rPr>
              <w:t>X</w:t>
            </w:r>
          </w:p>
        </w:tc>
        <w:tc>
          <w:tcPr>
            <w:tcW w:w="3203" w:type="dxa"/>
          </w:tcPr>
          <w:p w:rsidR="000A6CDA" w:rsidRPr="007942B7" w:rsidRDefault="00FF2695" w:rsidP="00AC4A6F">
            <w:pPr>
              <w:rPr>
                <w:sz w:val="20"/>
                <w:szCs w:val="20"/>
              </w:rPr>
            </w:pPr>
            <w:r>
              <w:rPr>
                <w:sz w:val="20"/>
                <w:szCs w:val="20"/>
              </w:rPr>
              <w:t>Si</w:t>
            </w:r>
          </w:p>
        </w:tc>
      </w:tr>
      <w:tr w:rsidR="000A6CDA" w:rsidRPr="007942B7" w:rsidTr="00D36F77">
        <w:trPr>
          <w:trHeight w:val="359"/>
        </w:trPr>
        <w:tc>
          <w:tcPr>
            <w:tcW w:w="2093" w:type="dxa"/>
            <w:vMerge/>
            <w:vAlign w:val="center"/>
          </w:tcPr>
          <w:p w:rsidR="000A6CDA" w:rsidRPr="00AF196B" w:rsidRDefault="000A6CDA" w:rsidP="006D4C90">
            <w:pPr>
              <w:rPr>
                <w:sz w:val="20"/>
                <w:szCs w:val="20"/>
              </w:rPr>
            </w:pPr>
          </w:p>
        </w:tc>
        <w:tc>
          <w:tcPr>
            <w:tcW w:w="4819" w:type="dxa"/>
          </w:tcPr>
          <w:p w:rsidR="000A6CDA" w:rsidRDefault="000A6CDA" w:rsidP="00E83650">
            <w:pPr>
              <w:rPr>
                <w:sz w:val="20"/>
                <w:szCs w:val="20"/>
              </w:rPr>
            </w:pPr>
            <w:r>
              <w:rPr>
                <w:sz w:val="20"/>
                <w:szCs w:val="20"/>
              </w:rPr>
              <w:t>Subvenciones percibidas</w:t>
            </w:r>
          </w:p>
        </w:tc>
        <w:tc>
          <w:tcPr>
            <w:tcW w:w="567" w:type="dxa"/>
          </w:tcPr>
          <w:p w:rsidR="000A6CDA" w:rsidRDefault="000A6CDA" w:rsidP="00800B69">
            <w:pPr>
              <w:jc w:val="center"/>
              <w:rPr>
                <w:sz w:val="20"/>
                <w:szCs w:val="20"/>
              </w:rPr>
            </w:pPr>
            <w:r>
              <w:rPr>
                <w:sz w:val="20"/>
                <w:szCs w:val="20"/>
              </w:rPr>
              <w:t>X</w:t>
            </w:r>
          </w:p>
        </w:tc>
        <w:tc>
          <w:tcPr>
            <w:tcW w:w="3203" w:type="dxa"/>
          </w:tcPr>
          <w:p w:rsidR="000A6CDA" w:rsidRPr="007942B7" w:rsidRDefault="00FF2695" w:rsidP="00AC4A6F">
            <w:pPr>
              <w:rPr>
                <w:sz w:val="20"/>
                <w:szCs w:val="20"/>
              </w:rPr>
            </w:pPr>
            <w:r>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023BA1" w:rsidP="00183301">
            <w:pPr>
              <w:jc w:val="center"/>
              <w:rPr>
                <w:sz w:val="20"/>
                <w:szCs w:val="20"/>
              </w:rPr>
            </w:pPr>
            <w:r>
              <w:rPr>
                <w:sz w:val="20"/>
                <w:szCs w:val="20"/>
              </w:rPr>
              <w:t>X</w:t>
            </w:r>
          </w:p>
        </w:tc>
        <w:tc>
          <w:tcPr>
            <w:tcW w:w="3203" w:type="dxa"/>
          </w:tcPr>
          <w:p w:rsidR="006D4C90" w:rsidRPr="007942B7" w:rsidRDefault="00FF2695"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0A6CDA" w:rsidP="000A6CDA">
            <w:pPr>
              <w:jc w:val="center"/>
              <w:rPr>
                <w:sz w:val="20"/>
                <w:szCs w:val="20"/>
              </w:rPr>
            </w:pPr>
            <w:r>
              <w:rPr>
                <w:sz w:val="20"/>
                <w:szCs w:val="20"/>
              </w:rPr>
              <w:t>X</w:t>
            </w:r>
          </w:p>
        </w:tc>
        <w:tc>
          <w:tcPr>
            <w:tcW w:w="3203" w:type="dxa"/>
          </w:tcPr>
          <w:p w:rsidR="006D4C90" w:rsidRPr="007942B7" w:rsidRDefault="00FF2695"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766C78" w:rsidP="00AA642A">
            <w:pPr>
              <w:jc w:val="center"/>
              <w:rPr>
                <w:b/>
                <w:sz w:val="20"/>
                <w:szCs w:val="20"/>
              </w:rPr>
            </w:pPr>
            <w:r>
              <w:rPr>
                <w:b/>
                <w:sz w:val="20"/>
                <w:szCs w:val="20"/>
              </w:rPr>
              <w:t>9</w:t>
            </w:r>
          </w:p>
        </w:tc>
        <w:tc>
          <w:tcPr>
            <w:tcW w:w="3203" w:type="dxa"/>
          </w:tcPr>
          <w:p w:rsidR="001C7D84" w:rsidRPr="001C7D84" w:rsidRDefault="001C7D84" w:rsidP="00AC4A6F">
            <w:pPr>
              <w:rPr>
                <w:b/>
                <w:sz w:val="20"/>
                <w:szCs w:val="20"/>
              </w:rPr>
            </w:pPr>
          </w:p>
        </w:tc>
      </w:tr>
    </w:tbl>
    <w:p w:rsidR="003A1694" w:rsidRDefault="003A1694" w:rsidP="00AC4A6F"/>
    <w:p w:rsidR="00FA5AFD" w:rsidRDefault="00FF2695" w:rsidP="00AC4A6F">
      <w:r>
        <w:t xml:space="preserve">El CGCOM ha aplicado el </w:t>
      </w:r>
      <w:r w:rsidR="00524DF8">
        <w:t>55,6</w:t>
      </w:r>
      <w:r>
        <w:t>% de las recomendaciones derivadas de la evaluación efectuada en 2020.</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4DF8" w:rsidRPr="00F31BC3" w:rsidRDefault="00524DF8"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524DF8" w:rsidRPr="00F31BC3" w:rsidRDefault="00524DF8"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FF2695"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524DF8" w:rsidRPr="006D4C90" w:rsidTr="00CC48E8">
        <w:trPr>
          <w:trHeight w:val="315"/>
        </w:trPr>
        <w:tc>
          <w:tcPr>
            <w:tcW w:w="2151" w:type="pct"/>
            <w:tcBorders>
              <w:left w:val="nil"/>
              <w:bottom w:val="nil"/>
              <w:right w:val="nil"/>
            </w:tcBorders>
            <w:shd w:val="clear" w:color="auto" w:fill="F5FDFA"/>
            <w:noWrap/>
            <w:hideMark/>
          </w:tcPr>
          <w:p w:rsidR="00524DF8" w:rsidRPr="006D4C90" w:rsidRDefault="00524DF8"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398" w:type="pct"/>
            <w:tcBorders>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458" w:type="pct"/>
            <w:tcBorders>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292" w:type="pct"/>
            <w:tcBorders>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292" w:type="pct"/>
            <w:tcBorders>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292" w:type="pct"/>
            <w:tcBorders>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298" w:type="pct"/>
            <w:tcBorders>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16,7</w:t>
            </w:r>
          </w:p>
        </w:tc>
        <w:tc>
          <w:tcPr>
            <w:tcW w:w="354" w:type="pct"/>
            <w:tcBorders>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88,1</w:t>
            </w:r>
          </w:p>
        </w:tc>
      </w:tr>
      <w:tr w:rsidR="00524DF8" w:rsidRPr="00524DF8" w:rsidTr="00FA5AFD">
        <w:trPr>
          <w:trHeight w:val="315"/>
        </w:trPr>
        <w:tc>
          <w:tcPr>
            <w:tcW w:w="2151" w:type="pct"/>
            <w:tcBorders>
              <w:top w:val="nil"/>
              <w:left w:val="nil"/>
              <w:bottom w:val="nil"/>
              <w:right w:val="nil"/>
            </w:tcBorders>
            <w:shd w:val="clear" w:color="auto" w:fill="F5FDFA"/>
            <w:noWrap/>
            <w:hideMark/>
          </w:tcPr>
          <w:p w:rsidR="00524DF8" w:rsidRPr="006D4C90" w:rsidRDefault="00524DF8"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75,0</w:t>
            </w:r>
          </w:p>
        </w:tc>
        <w:tc>
          <w:tcPr>
            <w:tcW w:w="39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75,0</w:t>
            </w:r>
          </w:p>
        </w:tc>
        <w:tc>
          <w:tcPr>
            <w:tcW w:w="45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75,0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75,0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75,0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75,0</w:t>
            </w:r>
          </w:p>
        </w:tc>
        <w:tc>
          <w:tcPr>
            <w:tcW w:w="29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354"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64,3</w:t>
            </w:r>
          </w:p>
        </w:tc>
      </w:tr>
      <w:tr w:rsidR="00524DF8" w:rsidRPr="006D4C90" w:rsidTr="00E17DF6">
        <w:trPr>
          <w:trHeight w:val="315"/>
        </w:trPr>
        <w:tc>
          <w:tcPr>
            <w:tcW w:w="2151" w:type="pct"/>
            <w:tcBorders>
              <w:top w:val="nil"/>
              <w:left w:val="nil"/>
              <w:bottom w:val="nil"/>
              <w:right w:val="nil"/>
            </w:tcBorders>
            <w:shd w:val="clear" w:color="auto" w:fill="65AD82"/>
            <w:noWrap/>
            <w:hideMark/>
          </w:tcPr>
          <w:p w:rsidR="00524DF8" w:rsidRPr="006D4C90" w:rsidRDefault="00524DF8"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85,7</w:t>
            </w:r>
          </w:p>
        </w:tc>
        <w:tc>
          <w:tcPr>
            <w:tcW w:w="398"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85,7</w:t>
            </w:r>
          </w:p>
        </w:tc>
        <w:tc>
          <w:tcPr>
            <w:tcW w:w="458"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85,7</w:t>
            </w:r>
          </w:p>
        </w:tc>
        <w:tc>
          <w:tcPr>
            <w:tcW w:w="292"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85,7</w:t>
            </w:r>
          </w:p>
        </w:tc>
        <w:tc>
          <w:tcPr>
            <w:tcW w:w="292"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85,7</w:t>
            </w:r>
          </w:p>
        </w:tc>
        <w:tc>
          <w:tcPr>
            <w:tcW w:w="292"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85,7</w:t>
            </w:r>
          </w:p>
        </w:tc>
        <w:tc>
          <w:tcPr>
            <w:tcW w:w="298"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7,1</w:t>
            </w:r>
          </w:p>
        </w:tc>
        <w:tc>
          <w:tcPr>
            <w:tcW w:w="354"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74,5</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524DF8" w:rsidRPr="006D4C90" w:rsidTr="00FA5AFD">
        <w:trPr>
          <w:trHeight w:val="315"/>
        </w:trPr>
        <w:tc>
          <w:tcPr>
            <w:tcW w:w="2151" w:type="pct"/>
            <w:tcBorders>
              <w:top w:val="nil"/>
              <w:left w:val="nil"/>
              <w:bottom w:val="nil"/>
              <w:right w:val="nil"/>
            </w:tcBorders>
            <w:shd w:val="clear" w:color="auto" w:fill="F5FDFA"/>
            <w:noWrap/>
            <w:hideMark/>
          </w:tcPr>
          <w:p w:rsidR="00524DF8" w:rsidRPr="006D4C90" w:rsidRDefault="00524DF8"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39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45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29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354"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r>
      <w:tr w:rsidR="00524DF8" w:rsidRPr="006D4C90" w:rsidTr="00FA5AFD">
        <w:trPr>
          <w:trHeight w:val="315"/>
        </w:trPr>
        <w:tc>
          <w:tcPr>
            <w:tcW w:w="2151" w:type="pct"/>
            <w:tcBorders>
              <w:top w:val="nil"/>
              <w:left w:val="nil"/>
              <w:bottom w:val="nil"/>
              <w:right w:val="nil"/>
            </w:tcBorders>
            <w:shd w:val="clear" w:color="auto" w:fill="F5FDFA"/>
            <w:noWrap/>
            <w:hideMark/>
          </w:tcPr>
          <w:p w:rsidR="00524DF8" w:rsidRPr="006D4C90" w:rsidRDefault="00524DF8"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39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45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29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c>
          <w:tcPr>
            <w:tcW w:w="354"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100,0</w:t>
            </w:r>
          </w:p>
        </w:tc>
      </w:tr>
      <w:tr w:rsidR="00524DF8" w:rsidRPr="006D4C90" w:rsidTr="00FA5AFD">
        <w:trPr>
          <w:trHeight w:val="315"/>
        </w:trPr>
        <w:tc>
          <w:tcPr>
            <w:tcW w:w="2151" w:type="pct"/>
            <w:tcBorders>
              <w:top w:val="nil"/>
              <w:left w:val="nil"/>
              <w:bottom w:val="nil"/>
              <w:right w:val="nil"/>
            </w:tcBorders>
            <w:shd w:val="clear" w:color="auto" w:fill="F5FDFA"/>
            <w:noWrap/>
          </w:tcPr>
          <w:p w:rsidR="00524DF8" w:rsidRPr="006D4C90" w:rsidRDefault="00524DF8" w:rsidP="00CC48E8">
            <w:pPr>
              <w:rPr>
                <w:rFonts w:eastAsia="Times New Roman" w:cs="Arial"/>
                <w:sz w:val="18"/>
                <w:szCs w:val="18"/>
                <w:lang w:eastAsia="es-ES"/>
              </w:rPr>
            </w:pPr>
            <w:r w:rsidRPr="00FF2695">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39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45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292"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298"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c>
          <w:tcPr>
            <w:tcW w:w="354" w:type="pct"/>
            <w:tcBorders>
              <w:top w:val="nil"/>
              <w:left w:val="nil"/>
              <w:bottom w:val="nil"/>
              <w:right w:val="nil"/>
            </w:tcBorders>
            <w:shd w:val="clear" w:color="auto" w:fill="F5FDFA"/>
            <w:noWrap/>
          </w:tcPr>
          <w:p w:rsidR="00524DF8" w:rsidRPr="00524DF8" w:rsidRDefault="00524DF8" w:rsidP="00524DF8">
            <w:pPr>
              <w:jc w:val="center"/>
              <w:rPr>
                <w:sz w:val="16"/>
                <w:szCs w:val="16"/>
              </w:rPr>
            </w:pPr>
            <w:r w:rsidRPr="00524DF8">
              <w:rPr>
                <w:sz w:val="16"/>
                <w:szCs w:val="16"/>
              </w:rPr>
              <w:t>0,0</w:t>
            </w:r>
          </w:p>
        </w:tc>
      </w:tr>
      <w:tr w:rsidR="00524DF8" w:rsidRPr="006D4C90" w:rsidTr="00E17DF6">
        <w:trPr>
          <w:trHeight w:val="315"/>
        </w:trPr>
        <w:tc>
          <w:tcPr>
            <w:tcW w:w="2151" w:type="pct"/>
            <w:tcBorders>
              <w:top w:val="nil"/>
              <w:left w:val="nil"/>
              <w:bottom w:val="nil"/>
              <w:right w:val="nil"/>
            </w:tcBorders>
            <w:shd w:val="clear" w:color="auto" w:fill="65AD82"/>
            <w:noWrap/>
            <w:hideMark/>
          </w:tcPr>
          <w:p w:rsidR="00524DF8" w:rsidRPr="006D4C90" w:rsidRDefault="00524DF8"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16,7</w:t>
            </w:r>
          </w:p>
        </w:tc>
        <w:tc>
          <w:tcPr>
            <w:tcW w:w="398"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16,7</w:t>
            </w:r>
          </w:p>
        </w:tc>
        <w:tc>
          <w:tcPr>
            <w:tcW w:w="458"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16,7</w:t>
            </w:r>
          </w:p>
        </w:tc>
        <w:tc>
          <w:tcPr>
            <w:tcW w:w="292"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16,7</w:t>
            </w:r>
          </w:p>
        </w:tc>
        <w:tc>
          <w:tcPr>
            <w:tcW w:w="292"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16,7</w:t>
            </w:r>
          </w:p>
        </w:tc>
        <w:tc>
          <w:tcPr>
            <w:tcW w:w="292"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16,7</w:t>
            </w:r>
          </w:p>
        </w:tc>
        <w:tc>
          <w:tcPr>
            <w:tcW w:w="298"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16,7</w:t>
            </w:r>
          </w:p>
        </w:tc>
        <w:tc>
          <w:tcPr>
            <w:tcW w:w="354" w:type="pct"/>
            <w:tcBorders>
              <w:top w:val="nil"/>
              <w:left w:val="nil"/>
              <w:bottom w:val="nil"/>
              <w:right w:val="nil"/>
            </w:tcBorders>
            <w:shd w:val="clear" w:color="auto" w:fill="65AD82"/>
            <w:noWrap/>
          </w:tcPr>
          <w:p w:rsidR="00524DF8" w:rsidRPr="00524DF8" w:rsidRDefault="00524DF8" w:rsidP="00524DF8">
            <w:pPr>
              <w:jc w:val="center"/>
              <w:rPr>
                <w:b/>
                <w:color w:val="FFFFFF" w:themeColor="background1"/>
                <w:sz w:val="16"/>
                <w:szCs w:val="16"/>
              </w:rPr>
            </w:pPr>
            <w:r w:rsidRPr="00524DF8">
              <w:rPr>
                <w:b/>
                <w:color w:val="FFFFFF" w:themeColor="background1"/>
                <w:sz w:val="16"/>
                <w:szCs w:val="16"/>
              </w:rPr>
              <w:t>16,7</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524DF8" w:rsidP="00BA3611">
            <w:pPr>
              <w:jc w:val="right"/>
              <w:rPr>
                <w:rFonts w:eastAsia="Times New Roman" w:cs="Arial"/>
                <w:b/>
                <w:sz w:val="18"/>
                <w:szCs w:val="18"/>
                <w:lang w:eastAsia="es-ES"/>
              </w:rPr>
            </w:pPr>
            <w:r>
              <w:rPr>
                <w:rFonts w:eastAsia="Times New Roman" w:cs="Arial"/>
                <w:b/>
                <w:sz w:val="18"/>
                <w:szCs w:val="18"/>
                <w:lang w:eastAsia="es-ES"/>
              </w:rPr>
              <w:t>47,8</w:t>
            </w:r>
          </w:p>
        </w:tc>
      </w:tr>
    </w:tbl>
    <w:p w:rsidR="00FA5AFD" w:rsidRDefault="00FA5AFD" w:rsidP="00F05E2C">
      <w:pPr>
        <w:pStyle w:val="Cuerpodelboletn"/>
        <w:rPr>
          <w:lang w:bidi="es-ES"/>
        </w:rPr>
      </w:pPr>
    </w:p>
    <w:p w:rsidR="00524DF8" w:rsidRDefault="00524DF8" w:rsidP="00F05E2C">
      <w:pPr>
        <w:pStyle w:val="Cuerpodelboletn"/>
      </w:pPr>
      <w:r>
        <w:t>El Índice de Cumplimiento de la Información Obligatoria (ICIO) se sitúa en el 47,8%, 12,6 puntos porcentuales más que el valor alcanzado en 2020. La falta de publicación de contenidos obligatorios y de referencias a la fecha en que se efectuó la última revisión o actualización de la información contenida en el Portal, explican el nivel de cumplimiento logrado por el CGCOM.</w:t>
      </w:r>
    </w:p>
    <w:p w:rsidR="00524DF8" w:rsidRDefault="00524DF8" w:rsidP="00F05E2C">
      <w:pPr>
        <w:pStyle w:val="Cuerpodelboletn"/>
        <w:sectPr w:rsidR="00524DF8"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524DF8" w:rsidP="00C61E7F">
      <w:pPr>
        <w:pStyle w:val="Sinespaciado"/>
        <w:spacing w:line="276" w:lineRule="auto"/>
        <w:jc w:val="both"/>
        <w:rPr>
          <w:rFonts w:ascii="Century Gothic" w:hAnsi="Century Gothic"/>
        </w:rPr>
      </w:pPr>
      <w:r>
        <w:rPr>
          <w:rFonts w:ascii="Century Gothic" w:hAnsi="Century Gothic"/>
        </w:rPr>
        <w:lastRenderedPageBreak/>
        <w:t>Aunque este CTBG valora el esfuerzo realizado por el CGCOM para mejorar los resultados obtenidos en 2020 – especialmente la creación de un Portal de Transparencia- siguen persistiendo áreas de mejora, ya evidenciadas en la evaluación de 2020:</w:t>
      </w:r>
    </w:p>
    <w:p w:rsidR="00524DF8" w:rsidRDefault="00524DF8" w:rsidP="00C61E7F">
      <w:pPr>
        <w:pStyle w:val="Sinespaciado"/>
        <w:spacing w:line="276" w:lineRule="auto"/>
        <w:jc w:val="both"/>
        <w:rPr>
          <w:rFonts w:ascii="Century Gothic" w:hAnsi="Century Gothic"/>
        </w:rPr>
      </w:pPr>
    </w:p>
    <w:p w:rsidR="00524DF8" w:rsidRDefault="00524DF8" w:rsidP="00524DF8">
      <w:pPr>
        <w:pStyle w:val="Sinespaciado"/>
        <w:numPr>
          <w:ilvl w:val="0"/>
          <w:numId w:val="18"/>
        </w:numPr>
        <w:spacing w:line="276" w:lineRule="auto"/>
        <w:jc w:val="both"/>
        <w:rPr>
          <w:rFonts w:ascii="Century Gothic" w:hAnsi="Century Gothic"/>
        </w:rPr>
      </w:pPr>
      <w:r>
        <w:rPr>
          <w:rFonts w:ascii="Century Gothic" w:hAnsi="Century Gothic"/>
        </w:rPr>
        <w:t>Se publica el 53,8% de la información obligatoria. El incumplimiento de la obligación de publicar afecta especialmente al bloque de información económica. No se publica información sobre los contratos adjudicados por el CGCOM en régimen de derecho administrativo o a</w:t>
      </w:r>
      <w:bookmarkStart w:id="1" w:name="_GoBack"/>
      <w:bookmarkEnd w:id="1"/>
      <w:r>
        <w:rPr>
          <w:rFonts w:ascii="Century Gothic" w:hAnsi="Century Gothic"/>
        </w:rPr>
        <w:t xml:space="preserve">quellos que hayan sido adjudicados al CGCOM  por una administración </w:t>
      </w:r>
    </w:p>
    <w:p w:rsidR="00524DF8" w:rsidRDefault="00ED1F67" w:rsidP="00ED1F67">
      <w:pPr>
        <w:pStyle w:val="Sinespaciado"/>
        <w:spacing w:line="276" w:lineRule="auto"/>
        <w:ind w:left="720"/>
        <w:jc w:val="both"/>
        <w:rPr>
          <w:rFonts w:ascii="Century Gothic" w:hAnsi="Century Gothic"/>
        </w:rPr>
      </w:pPr>
      <w:r w:rsidRPr="00ED1F67">
        <w:rPr>
          <w:rFonts w:ascii="Century Gothic" w:hAnsi="Century Gothic"/>
        </w:rPr>
        <w:lastRenderedPageBreak/>
        <mc:AlternateContent>
          <mc:Choice Requires="wps">
            <w:drawing>
              <wp:anchor distT="0" distB="0" distL="114300" distR="114300" simplePos="0" relativeHeight="251727872" behindDoc="0" locked="0" layoutInCell="1" allowOverlap="1" wp14:anchorId="77756A9C" wp14:editId="6E87DAB4">
                <wp:simplePos x="0" y="0"/>
                <wp:positionH relativeFrom="page">
                  <wp:posOffset>0</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2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" fillcolor="#c5ddd2" stroked="f">
                <v:textbox inset=",7.2pt,,7.2pt"/>
                <w10:wrap type="tight" anchorx="page" anchory="page"/>
              </v:rect>
            </w:pict>
          </mc:Fallback>
        </mc:AlternateContent>
      </w:r>
      <w:r w:rsidRPr="00ED1F67">
        <w:rPr>
          <w:rFonts w:ascii="Century Gothic" w:hAnsi="Century Gothic"/>
        </w:rPr>
        <mc:AlternateContent>
          <mc:Choice Requires="wps">
            <w:drawing>
              <wp:anchor distT="0" distB="0" distL="114300" distR="114300" simplePos="0" relativeHeight="251726848" behindDoc="0" locked="0" layoutInCell="1" allowOverlap="1" wp14:anchorId="03887595" wp14:editId="25137B7F">
                <wp:simplePos x="0" y="0"/>
                <wp:positionH relativeFrom="page">
                  <wp:posOffset>0</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D1F67" w:rsidRPr="00F31BC3" w:rsidRDefault="00ED1F67" w:rsidP="00ED1F67">
                            <w:r w:rsidRPr="00965C69">
                              <w:rPr>
                                <w:noProof/>
                                <w:lang w:eastAsia="es-ES"/>
                              </w:rPr>
                              <w:drawing>
                                <wp:inline distT="0" distB="0" distL="0" distR="0" wp14:anchorId="200280B2" wp14:editId="1B0FDFD8">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" fillcolor="#50866c" stroked="f">
                <v:textbox inset=",7.2pt,,7.2pt">
                  <w:txbxContent>
                    <w:p w:rsidR="00ED1F67" w:rsidRPr="00F31BC3" w:rsidRDefault="00ED1F67" w:rsidP="00ED1F67">
                      <w:r w:rsidRPr="00965C69">
                        <w:rPr>
                          <w:noProof/>
                          <w:lang w:eastAsia="es-ES"/>
                        </w:rPr>
                        <w:drawing>
                          <wp:inline distT="0" distB="0" distL="0" distR="0" wp14:anchorId="200280B2" wp14:editId="1B0FDFD8">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E17DF6" w:rsidRDefault="00524DF8" w:rsidP="00524DF8">
      <w:pPr>
        <w:pStyle w:val="Sinespaciado"/>
        <w:spacing w:line="276" w:lineRule="auto"/>
        <w:ind w:left="720"/>
        <w:jc w:val="both"/>
        <w:rPr>
          <w:rFonts w:ascii="Century Gothic" w:hAnsi="Century Gothic"/>
        </w:rPr>
      </w:pPr>
      <w:proofErr w:type="gramStart"/>
      <w:r>
        <w:rPr>
          <w:rFonts w:ascii="Century Gothic" w:hAnsi="Century Gothic"/>
        </w:rPr>
        <w:t>pública</w:t>
      </w:r>
      <w:proofErr w:type="gramEnd"/>
      <w:r>
        <w:rPr>
          <w:rFonts w:ascii="Century Gothic" w:hAnsi="Century Gothic"/>
        </w:rPr>
        <w:t xml:space="preserve">. Tampoco se publica información sobre las subvenciones o ayudas públicas concedidas al CGCOM por administraciones públicas. </w:t>
      </w:r>
    </w:p>
    <w:p w:rsidR="00ED1F67" w:rsidRDefault="00ED1F67" w:rsidP="00524DF8">
      <w:pPr>
        <w:pStyle w:val="Sinespaciado"/>
        <w:spacing w:line="276" w:lineRule="auto"/>
        <w:ind w:left="720"/>
        <w:jc w:val="both"/>
        <w:rPr>
          <w:rFonts w:ascii="Century Gothic" w:hAnsi="Century Gothic"/>
        </w:rPr>
      </w:pPr>
    </w:p>
    <w:p w:rsidR="00ED1F67" w:rsidRDefault="00ED1F67" w:rsidP="00ED1F67">
      <w:pPr>
        <w:pStyle w:val="Sinespaciado"/>
        <w:numPr>
          <w:ilvl w:val="0"/>
          <w:numId w:val="18"/>
        </w:numPr>
        <w:spacing w:line="276" w:lineRule="auto"/>
        <w:jc w:val="both"/>
        <w:rPr>
          <w:rFonts w:ascii="Century Gothic" w:hAnsi="Century Gothic"/>
        </w:rPr>
      </w:pPr>
      <w:r>
        <w:rPr>
          <w:rFonts w:ascii="Century Gothic" w:hAnsi="Century Gothic"/>
        </w:rPr>
        <w:t xml:space="preserve">No se informa en el Portal de Transparencia de la fecha de la última revisión o actualización de la información. </w:t>
      </w: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D1F67" w:rsidP="00C61E7F">
      <w:pPr>
        <w:pStyle w:val="Sinespaciado"/>
        <w:spacing w:line="276" w:lineRule="auto"/>
        <w:jc w:val="both"/>
        <w:rPr>
          <w:rFonts w:ascii="Century Gothic" w:hAnsi="Century Gothic"/>
        </w:rPr>
      </w:pPr>
      <w:r>
        <w:rPr>
          <w:rFonts w:ascii="Century Gothic" w:hAnsi="Century Gothic"/>
        </w:rPr>
        <w:t>Madrid, junio de 2021</w:t>
      </w: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D1F67" w:rsidRDefault="00ED1F67"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4DF8" w:rsidRPr="00F31BC3" w:rsidRDefault="00524DF8"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524DF8" w:rsidRPr="00F31BC3" w:rsidRDefault="00524DF8"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4DF8" w:rsidRPr="00F31BC3" w:rsidRDefault="00524DF8"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524DF8" w:rsidRPr="00F31BC3" w:rsidRDefault="00524DF8"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DF8" w:rsidRDefault="00524DF8" w:rsidP="00F31BC3">
      <w:r>
        <w:separator/>
      </w:r>
    </w:p>
  </w:endnote>
  <w:endnote w:type="continuationSeparator" w:id="0">
    <w:p w:rsidR="00524DF8" w:rsidRDefault="00524DF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DF8" w:rsidRDefault="00524DF8" w:rsidP="00F31BC3">
      <w:r>
        <w:separator/>
      </w:r>
    </w:p>
  </w:footnote>
  <w:footnote w:type="continuationSeparator" w:id="0">
    <w:p w:rsidR="00524DF8" w:rsidRDefault="00524DF8"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C5F5864"/>
    <w:multiLevelType w:val="hybridMultilevel"/>
    <w:tmpl w:val="CD386F5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0"/>
  </w:num>
  <w:num w:numId="5">
    <w:abstractNumId w:val="12"/>
  </w:num>
  <w:num w:numId="6">
    <w:abstractNumId w:val="13"/>
  </w:num>
  <w:num w:numId="7">
    <w:abstractNumId w:val="11"/>
  </w:num>
  <w:num w:numId="8">
    <w:abstractNumId w:val="1"/>
  </w:num>
  <w:num w:numId="9">
    <w:abstractNumId w:val="5"/>
  </w:num>
  <w:num w:numId="10">
    <w:abstractNumId w:val="3"/>
  </w:num>
  <w:num w:numId="11">
    <w:abstractNumId w:val="15"/>
  </w:num>
  <w:num w:numId="12">
    <w:abstractNumId w:val="10"/>
  </w:num>
  <w:num w:numId="13">
    <w:abstractNumId w:val="6"/>
  </w:num>
  <w:num w:numId="14">
    <w:abstractNumId w:val="16"/>
  </w:num>
  <w:num w:numId="15">
    <w:abstractNumId w:val="2"/>
  </w:num>
  <w:num w:numId="16">
    <w:abstractNumId w:val="17"/>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3BA1"/>
    <w:rsid w:val="00032D8A"/>
    <w:rsid w:val="00053A0E"/>
    <w:rsid w:val="0005642F"/>
    <w:rsid w:val="00072B7E"/>
    <w:rsid w:val="000775A5"/>
    <w:rsid w:val="000A6CDA"/>
    <w:rsid w:val="000A77F5"/>
    <w:rsid w:val="000B7BC3"/>
    <w:rsid w:val="000D3907"/>
    <w:rsid w:val="000D5417"/>
    <w:rsid w:val="000E0A9E"/>
    <w:rsid w:val="000F3D7F"/>
    <w:rsid w:val="00104DE9"/>
    <w:rsid w:val="00104E94"/>
    <w:rsid w:val="001149B1"/>
    <w:rsid w:val="00132732"/>
    <w:rsid w:val="00146C3C"/>
    <w:rsid w:val="00164876"/>
    <w:rsid w:val="001763F8"/>
    <w:rsid w:val="00183301"/>
    <w:rsid w:val="00187CDD"/>
    <w:rsid w:val="0019448F"/>
    <w:rsid w:val="001A0DA8"/>
    <w:rsid w:val="001A1914"/>
    <w:rsid w:val="001A5305"/>
    <w:rsid w:val="001C2217"/>
    <w:rsid w:val="001C3E2F"/>
    <w:rsid w:val="001C4509"/>
    <w:rsid w:val="001C7C78"/>
    <w:rsid w:val="001C7D84"/>
    <w:rsid w:val="001D3950"/>
    <w:rsid w:val="001E5AAD"/>
    <w:rsid w:val="0021682B"/>
    <w:rsid w:val="00231D61"/>
    <w:rsid w:val="00243294"/>
    <w:rsid w:val="00244EDA"/>
    <w:rsid w:val="002467FA"/>
    <w:rsid w:val="00263F79"/>
    <w:rsid w:val="002D0702"/>
    <w:rsid w:val="002D27E4"/>
    <w:rsid w:val="002E409F"/>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24DF8"/>
    <w:rsid w:val="005301DF"/>
    <w:rsid w:val="00536832"/>
    <w:rsid w:val="00563295"/>
    <w:rsid w:val="00564E23"/>
    <w:rsid w:val="00582A8C"/>
    <w:rsid w:val="005B1544"/>
    <w:rsid w:val="005C4778"/>
    <w:rsid w:val="005E2505"/>
    <w:rsid w:val="005E6704"/>
    <w:rsid w:val="00603DFC"/>
    <w:rsid w:val="00607613"/>
    <w:rsid w:val="006266A5"/>
    <w:rsid w:val="00633EAA"/>
    <w:rsid w:val="00634986"/>
    <w:rsid w:val="0069673B"/>
    <w:rsid w:val="006B75D8"/>
    <w:rsid w:val="006C0CDD"/>
    <w:rsid w:val="006D49E7"/>
    <w:rsid w:val="006D4C90"/>
    <w:rsid w:val="006E75DE"/>
    <w:rsid w:val="007071A8"/>
    <w:rsid w:val="00707515"/>
    <w:rsid w:val="00707C14"/>
    <w:rsid w:val="00714C54"/>
    <w:rsid w:val="00717272"/>
    <w:rsid w:val="0073626B"/>
    <w:rsid w:val="00751FAA"/>
    <w:rsid w:val="00760E4B"/>
    <w:rsid w:val="0076640C"/>
    <w:rsid w:val="00766C78"/>
    <w:rsid w:val="00767C60"/>
    <w:rsid w:val="00774C97"/>
    <w:rsid w:val="00777FB3"/>
    <w:rsid w:val="00781700"/>
    <w:rsid w:val="00790143"/>
    <w:rsid w:val="007942B7"/>
    <w:rsid w:val="007954A6"/>
    <w:rsid w:val="007C5F2D"/>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3747A"/>
    <w:rsid w:val="00A43794"/>
    <w:rsid w:val="00A51AAD"/>
    <w:rsid w:val="00A82709"/>
    <w:rsid w:val="00AA0AE1"/>
    <w:rsid w:val="00AA642A"/>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76A23"/>
    <w:rsid w:val="00C91330"/>
    <w:rsid w:val="00CB6837"/>
    <w:rsid w:val="00CC48E8"/>
    <w:rsid w:val="00CD3DE8"/>
    <w:rsid w:val="00CF21EB"/>
    <w:rsid w:val="00D014E1"/>
    <w:rsid w:val="00D01CA1"/>
    <w:rsid w:val="00D1453D"/>
    <w:rsid w:val="00D36F77"/>
    <w:rsid w:val="00D41F4C"/>
    <w:rsid w:val="00D45F5C"/>
    <w:rsid w:val="00D520C8"/>
    <w:rsid w:val="00D70570"/>
    <w:rsid w:val="00D9090A"/>
    <w:rsid w:val="00D96084"/>
    <w:rsid w:val="00DA6660"/>
    <w:rsid w:val="00DC5B52"/>
    <w:rsid w:val="00DD515F"/>
    <w:rsid w:val="00DF25D7"/>
    <w:rsid w:val="00DF54AF"/>
    <w:rsid w:val="00DF555F"/>
    <w:rsid w:val="00E023B5"/>
    <w:rsid w:val="00E17DF6"/>
    <w:rsid w:val="00E33169"/>
    <w:rsid w:val="00E51AC4"/>
    <w:rsid w:val="00E6528C"/>
    <w:rsid w:val="00E73F4D"/>
    <w:rsid w:val="00E83650"/>
    <w:rsid w:val="00E96079"/>
    <w:rsid w:val="00EC6A3E"/>
    <w:rsid w:val="00ED1F67"/>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2695"/>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E118A"/>
    <w:rsid w:val="00A104A7"/>
    <w:rsid w:val="00AA3A82"/>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4873beb7-5857-4685-be1f-d57550cc96c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18DA18E8-5011-46D8-9829-2972DF1C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158</TotalTime>
  <Pages>4</Pages>
  <Words>755</Words>
  <Characters>4154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2021-01-22T10:18:00Z</dcterms:created>
  <dcterms:modified xsi:type="dcterms:W3CDTF">2021-06-14T12:03:00Z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