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5D0C72" w:rsidRDefault="005D0C7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D23D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de </w:t>
                                </w:r>
                                <w:r w:rsidRPr="002578B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Colegios de Protésicos Dentales de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="00D23DE7" w:rsidRPr="00D23DE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de </w:t>
                          </w:r>
                          <w:r w:rsidR="002578B8" w:rsidRPr="002578B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Colegios de Protésicos Dentales de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0C72" w:rsidRDefault="005D0C7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D0C7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E943F6" w:rsidRPr="007942B7" w:rsidTr="00183301">
        <w:tc>
          <w:tcPr>
            <w:tcW w:w="2093" w:type="dxa"/>
            <w:vMerge w:val="restart"/>
            <w:vAlign w:val="center"/>
          </w:tcPr>
          <w:p w:rsidR="00E943F6" w:rsidRPr="007942B7" w:rsidRDefault="00E943F6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E943F6" w:rsidRPr="007942B7" w:rsidRDefault="009C050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5D0C72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A1361E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5D0C72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A1361E">
            <w:pPr>
              <w:rPr>
                <w:sz w:val="20"/>
                <w:szCs w:val="20"/>
              </w:rPr>
            </w:pPr>
          </w:p>
        </w:tc>
      </w:tr>
      <w:tr w:rsidR="009C0503" w:rsidRPr="007942B7" w:rsidTr="009C0503">
        <w:trPr>
          <w:trHeight w:val="359"/>
        </w:trPr>
        <w:tc>
          <w:tcPr>
            <w:tcW w:w="2093" w:type="dxa"/>
            <w:vMerge w:val="restart"/>
            <w:vAlign w:val="center"/>
          </w:tcPr>
          <w:p w:rsidR="009C0503" w:rsidRDefault="009C0503" w:rsidP="006D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9C0503" w:rsidRDefault="00020D5C" w:rsidP="006F354D">
            <w:pPr>
              <w:rPr>
                <w:sz w:val="20"/>
                <w:szCs w:val="20"/>
              </w:rPr>
            </w:pPr>
            <w:r w:rsidRPr="00020D5C">
              <w:rPr>
                <w:sz w:val="20"/>
                <w:szCs w:val="20"/>
              </w:rPr>
              <w:t>Normativa</w:t>
            </w:r>
          </w:p>
        </w:tc>
        <w:tc>
          <w:tcPr>
            <w:tcW w:w="567" w:type="dxa"/>
            <w:vAlign w:val="center"/>
          </w:tcPr>
          <w:p w:rsidR="009C0503" w:rsidRDefault="009C0503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0503" w:rsidRPr="007942B7" w:rsidRDefault="005D0C7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C0503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9C0503" w:rsidRDefault="009C0503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0503" w:rsidRDefault="00020D5C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estructura organizativa</w:t>
            </w:r>
            <w:r w:rsidR="009C0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C0503" w:rsidRDefault="009C0503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0503" w:rsidRPr="007942B7" w:rsidRDefault="005D0C7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20D5C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020D5C" w:rsidRDefault="00020D5C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0D5C" w:rsidRDefault="00020D5C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020D5C" w:rsidRDefault="00020D5C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0D5C" w:rsidRPr="007942B7" w:rsidRDefault="005D0C7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20D5C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020D5C" w:rsidRDefault="00020D5C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0D5C" w:rsidRDefault="00020D5C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20D5C">
              <w:rPr>
                <w:sz w:val="20"/>
                <w:szCs w:val="20"/>
              </w:rPr>
              <w:t xml:space="preserve">erfil y trayectoria profesional de </w:t>
            </w:r>
            <w:r>
              <w:rPr>
                <w:sz w:val="20"/>
                <w:szCs w:val="20"/>
              </w:rPr>
              <w:t>los máximos responsables</w:t>
            </w:r>
          </w:p>
        </w:tc>
        <w:tc>
          <w:tcPr>
            <w:tcW w:w="567" w:type="dxa"/>
            <w:vAlign w:val="center"/>
          </w:tcPr>
          <w:p w:rsidR="00020D5C" w:rsidRDefault="00020D5C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0D5C" w:rsidRPr="007942B7" w:rsidRDefault="005D0C7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0503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9C0503" w:rsidRPr="00AF196B" w:rsidRDefault="009C0503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0503" w:rsidRDefault="009C0503" w:rsidP="009C0503">
            <w:pPr>
              <w:rPr>
                <w:sz w:val="20"/>
                <w:szCs w:val="20"/>
              </w:rPr>
            </w:pPr>
            <w:r w:rsidRPr="006F354D">
              <w:rPr>
                <w:sz w:val="20"/>
                <w:szCs w:val="20"/>
              </w:rPr>
              <w:t>Registro de actividades de tratamiento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C0503" w:rsidRDefault="009C0503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C0503" w:rsidRPr="007942B7" w:rsidRDefault="005D0C7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5D0C72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5D0C72" w:rsidRPr="00AF196B" w:rsidRDefault="005D0C72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D0C72" w:rsidRPr="006F354D" w:rsidRDefault="005D0C72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  <w:vAlign w:val="center"/>
          </w:tcPr>
          <w:p w:rsidR="005D0C72" w:rsidRDefault="005D0C72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D0C72" w:rsidRDefault="005D0C72">
            <w:r w:rsidRPr="00674C22">
              <w:rPr>
                <w:sz w:val="20"/>
                <w:szCs w:val="20"/>
              </w:rPr>
              <w:t>Si</w:t>
            </w:r>
          </w:p>
        </w:tc>
      </w:tr>
      <w:tr w:rsidR="005D0C72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5D0C72" w:rsidRPr="00AF196B" w:rsidRDefault="005D0C72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D0C72" w:rsidRPr="006F354D" w:rsidRDefault="005D0C72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5D0C72" w:rsidRDefault="005D0C72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D0C72" w:rsidRDefault="005D0C72">
            <w:r w:rsidRPr="00674C22">
              <w:rPr>
                <w:sz w:val="20"/>
                <w:szCs w:val="20"/>
              </w:rPr>
              <w:t>Si</w:t>
            </w:r>
          </w:p>
        </w:tc>
      </w:tr>
      <w:tr w:rsidR="005D0C72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5D0C72" w:rsidRPr="00AF196B" w:rsidRDefault="005D0C72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D0C72" w:rsidRPr="006F354D" w:rsidRDefault="005D0C72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</w:t>
            </w:r>
          </w:p>
        </w:tc>
        <w:tc>
          <w:tcPr>
            <w:tcW w:w="567" w:type="dxa"/>
            <w:vAlign w:val="center"/>
          </w:tcPr>
          <w:p w:rsidR="005D0C72" w:rsidRDefault="005D0C72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D0C72" w:rsidRDefault="005D0C72">
            <w:r w:rsidRPr="00674C22"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5D0C72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5D0C72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0E0098" w:rsidP="00020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0D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5D0C72" w:rsidP="00AC4A6F">
      <w:r>
        <w:t xml:space="preserve">EL CGPDE ha aplicado el 66,7% de las recomendaciones derivadas de la evaluación realizada en 2020. </w:t>
      </w:r>
      <w:r w:rsidR="00456641">
        <w:t>Es especialmente destacable la creación del Portal de Transparencia de la institución.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0C72" w:rsidRPr="00F31BC3" w:rsidRDefault="005D0C7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9090A" w:rsidRPr="00F31BC3" w:rsidRDefault="00D909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D0C7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5D0C72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0C72" w:rsidRPr="006D4C90" w:rsidRDefault="005D0C72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92,9</w:t>
            </w:r>
          </w:p>
        </w:tc>
      </w:tr>
      <w:tr w:rsidR="005D0C72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0C72" w:rsidRPr="006D4C90" w:rsidRDefault="005D0C72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5D0C72" w:rsidRDefault="005D0C72" w:rsidP="005D0C72">
            <w:pPr>
              <w:jc w:val="center"/>
              <w:rPr>
                <w:sz w:val="16"/>
                <w:szCs w:val="16"/>
              </w:rPr>
            </w:pPr>
            <w:r w:rsidRPr="005D0C72">
              <w:rPr>
                <w:sz w:val="16"/>
                <w:szCs w:val="16"/>
              </w:rPr>
              <w:t>17,9</w:t>
            </w:r>
          </w:p>
        </w:tc>
      </w:tr>
      <w:tr w:rsidR="005D0C72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D0C72" w:rsidRPr="006D4C90" w:rsidRDefault="005D0C72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21,4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0C72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5D0C72" w:rsidRPr="006D4C90" w:rsidTr="005D0C7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0C72" w:rsidRPr="006D4C90" w:rsidRDefault="005D0C72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6D4C90" w:rsidRDefault="005D0C72" w:rsidP="005D0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5D0C72" w:rsidRPr="006D4C90" w:rsidTr="005D0C7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0C72" w:rsidRPr="006D4C90" w:rsidRDefault="005D0C72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0C72" w:rsidRPr="006D4C90" w:rsidRDefault="005D0C72" w:rsidP="005D0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CC48E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6D4C90" w:rsidRDefault="00CC48E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C48E8" w:rsidRPr="006D4C90" w:rsidRDefault="005D0C72" w:rsidP="005D0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5D0C72" w:rsidRPr="006D4C90" w:rsidTr="005D0C7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D0C72" w:rsidRPr="006D4C90" w:rsidRDefault="005D0C72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0C72" w:rsidRPr="005D0C72" w:rsidRDefault="005D0C72" w:rsidP="005D0C7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D0C72">
              <w:rPr>
                <w:b/>
                <w:color w:val="FFFFFF" w:themeColor="background1"/>
                <w:sz w:val="18"/>
                <w:szCs w:val="18"/>
              </w:rPr>
              <w:t>No aplicable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5D0C72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24E51" w:rsidRDefault="00456641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alcanzado por el </w:t>
      </w:r>
      <w:r>
        <w:t xml:space="preserve">CGPDE </w:t>
      </w:r>
      <w:r>
        <w:rPr>
          <w:lang w:bidi="es-ES"/>
        </w:rPr>
        <w:t xml:space="preserve">alcanza un </w:t>
      </w:r>
      <w:r>
        <w:rPr>
          <w:lang w:bidi="es-ES"/>
        </w:rPr>
        <w:t>50</w:t>
      </w:r>
      <w:r>
        <w:rPr>
          <w:lang w:bidi="es-ES"/>
        </w:rPr>
        <w:t>% de cumplimiento.</w:t>
      </w:r>
      <w:r>
        <w:rPr>
          <w:lang w:bidi="es-ES"/>
        </w:rPr>
        <w:t xml:space="preserve"> Respecto de 2020 se ha incrementado en </w:t>
      </w:r>
      <w:r>
        <w:rPr>
          <w:lang w:bidi="es-ES"/>
        </w:rPr>
        <w:t>39</w:t>
      </w:r>
      <w:r>
        <w:rPr>
          <w:lang w:bidi="es-ES"/>
        </w:rPr>
        <w:t xml:space="preserve"> puntos porcentuales.</w:t>
      </w:r>
    </w:p>
    <w:p w:rsidR="00456641" w:rsidRDefault="00456641" w:rsidP="00F05E2C">
      <w:pPr>
        <w:pStyle w:val="Cuerpodelboletn"/>
        <w:rPr>
          <w:lang w:bidi="es-ES"/>
        </w:rPr>
        <w:sectPr w:rsidR="0045664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456641" w:rsidRDefault="005D0C72" w:rsidP="005D0C72">
      <w:pPr>
        <w:pStyle w:val="Cuerpodelboletn"/>
      </w:pPr>
      <w:r>
        <w:lastRenderedPageBreak/>
        <w:t xml:space="preserve">Este CTBG </w:t>
      </w:r>
      <w:r w:rsidRPr="0010260A">
        <w:rPr>
          <w:b/>
        </w:rPr>
        <w:t>valora positivamente</w:t>
      </w:r>
      <w:r>
        <w:t xml:space="preserve"> el esfuerzo realizado por el </w:t>
      </w:r>
      <w:r w:rsidR="00456641">
        <w:t xml:space="preserve">CGPDE </w:t>
      </w:r>
      <w:r>
        <w:t>para mejorar el cumplimiento de las obligaciones de publicidad activa. Se ha</w:t>
      </w:r>
      <w:r w:rsidR="00456641">
        <w:t>n</w:t>
      </w:r>
      <w:r>
        <w:t xml:space="preserve"> aplicado </w:t>
      </w:r>
      <w:r w:rsidR="00456641">
        <w:t>dos tercios</w:t>
      </w:r>
      <w:r>
        <w:t xml:space="preserve"> de las recomendaciones efectuadas, lo que ha tenido reflejo en el ICIO alcanzado. Si en la evaluación de 2020 el ICIO se situaba en un </w:t>
      </w:r>
      <w:r w:rsidR="00456641">
        <w:t>11</w:t>
      </w:r>
      <w:r>
        <w:t xml:space="preserve">%, en 2021 alcanza el </w:t>
      </w:r>
      <w:r w:rsidR="00456641">
        <w:t>50%.</w:t>
      </w:r>
    </w:p>
    <w:p w:rsidR="00456641" w:rsidRDefault="00456641" w:rsidP="005D0C72">
      <w:pPr>
        <w:pStyle w:val="Cuerpodelboletn"/>
      </w:pPr>
    </w:p>
    <w:p w:rsidR="00456641" w:rsidRDefault="00456641" w:rsidP="005D0C72">
      <w:pPr>
        <w:pStyle w:val="Cuerpodelboletn"/>
      </w:pPr>
    </w:p>
    <w:p w:rsidR="005D0C72" w:rsidRDefault="00456641" w:rsidP="005D0C72">
      <w:pPr>
        <w:pStyle w:val="Cuerpodelboletn"/>
      </w:pPr>
      <w:r w:rsidRPr="00456641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AFD7E3" wp14:editId="65F9D6D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6641" w:rsidRPr="00F31BC3" w:rsidRDefault="00456641" w:rsidP="0045664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946E89" wp14:editId="36612B40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6gfq4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56641" w:rsidRPr="00F31BC3" w:rsidRDefault="00456641" w:rsidP="0045664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946E89" wp14:editId="36612B40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56641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7FAE8D" wp14:editId="595825D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t>No obstante, subsisten áreas de mejora, ya identificadas en 2020 y que no han sido implantadas por el CGPDE:</w:t>
      </w:r>
      <w:r w:rsidR="005D0C72">
        <w:t xml:space="preserve"> </w:t>
      </w:r>
    </w:p>
    <w:p w:rsidR="00903FE0" w:rsidRDefault="00456641" w:rsidP="0045664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ha aumentado la proporción de informaciones obligatoria publicadas, todavía sigue sin publicarse un 43% de estas obligaciones, todas ellas correspondientes al bloque de información Institucional y Organizativa.</w:t>
      </w:r>
    </w:p>
    <w:p w:rsidR="00456641" w:rsidRDefault="00456641" w:rsidP="0045664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incluirse información</w:t>
      </w:r>
      <w:bookmarkStart w:id="1" w:name="_GoBack"/>
      <w:bookmarkEnd w:id="1"/>
      <w:r>
        <w:rPr>
          <w:rFonts w:ascii="Century Gothic" w:hAnsi="Century Gothic"/>
        </w:rPr>
        <w:t xml:space="preserve"> sobre la última fecha en que se revisó o actualizó la información. </w:t>
      </w:r>
    </w:p>
    <w:p w:rsidR="00456641" w:rsidRDefault="00456641" w:rsidP="0045664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56641" w:rsidRDefault="00456641" w:rsidP="0045664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junio de 2021 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56641" w:rsidRDefault="00456641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0C72" w:rsidRPr="00F31BC3" w:rsidRDefault="005D0C7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D0C72" w:rsidRPr="00F31BC3" w:rsidRDefault="005D0C7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72" w:rsidRDefault="005D0C72" w:rsidP="00F31BC3">
      <w:r>
        <w:separator/>
      </w:r>
    </w:p>
  </w:endnote>
  <w:endnote w:type="continuationSeparator" w:id="0">
    <w:p w:rsidR="005D0C72" w:rsidRDefault="005D0C7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72" w:rsidRDefault="005D0C72" w:rsidP="00F31BC3">
      <w:r>
        <w:separator/>
      </w:r>
    </w:p>
  </w:footnote>
  <w:footnote w:type="continuationSeparator" w:id="0">
    <w:p w:rsidR="005D0C72" w:rsidRDefault="005D0C7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1A62"/>
    <w:multiLevelType w:val="hybridMultilevel"/>
    <w:tmpl w:val="BC72ED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0D5C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098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578B8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56641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516"/>
    <w:rsid w:val="00536832"/>
    <w:rsid w:val="00563295"/>
    <w:rsid w:val="00564E23"/>
    <w:rsid w:val="00582A8C"/>
    <w:rsid w:val="005B1544"/>
    <w:rsid w:val="005C4778"/>
    <w:rsid w:val="005D0C72"/>
    <w:rsid w:val="005E2505"/>
    <w:rsid w:val="005E55DD"/>
    <w:rsid w:val="005E6704"/>
    <w:rsid w:val="00603DFC"/>
    <w:rsid w:val="00607613"/>
    <w:rsid w:val="006266A5"/>
    <w:rsid w:val="006323FF"/>
    <w:rsid w:val="00633EAA"/>
    <w:rsid w:val="00634986"/>
    <w:rsid w:val="0069673B"/>
    <w:rsid w:val="006B75D8"/>
    <w:rsid w:val="006C0CDD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6C78"/>
    <w:rsid w:val="00767C60"/>
    <w:rsid w:val="00774C97"/>
    <w:rsid w:val="00777FB3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11E6"/>
    <w:rsid w:val="00902A71"/>
    <w:rsid w:val="009039FD"/>
    <w:rsid w:val="00903FE0"/>
    <w:rsid w:val="00912DB4"/>
    <w:rsid w:val="00942896"/>
    <w:rsid w:val="00947271"/>
    <w:rsid w:val="009654DA"/>
    <w:rsid w:val="00965C69"/>
    <w:rsid w:val="00982299"/>
    <w:rsid w:val="009B75CD"/>
    <w:rsid w:val="009C0503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87D96"/>
    <w:rsid w:val="00AA0AE1"/>
    <w:rsid w:val="00AA642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059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23DE7"/>
    <w:rsid w:val="00D36F77"/>
    <w:rsid w:val="00D41F4C"/>
    <w:rsid w:val="00D45F5C"/>
    <w:rsid w:val="00D520C8"/>
    <w:rsid w:val="00D70570"/>
    <w:rsid w:val="00D73A2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E0624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60C0-44EC-4B6B-9932-C85DFD86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31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2021-01-22T11:23:00Z</dcterms:created>
  <dcterms:modified xsi:type="dcterms:W3CDTF">2021-06-15T12:12:00Z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