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305798</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011F76" w:rsidRPr="00006957" w:rsidRDefault="00011F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1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011F76" w:rsidRPr="00006957" w:rsidRDefault="00011F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11F76" w:rsidRDefault="00011F7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80D54" w:rsidRDefault="00E80D5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E94755" w:rsidRPr="00CB5511" w:rsidTr="002F54A2">
        <w:tc>
          <w:tcPr>
            <w:tcW w:w="3652" w:type="dxa"/>
          </w:tcPr>
          <w:p w:rsidR="00E94755" w:rsidRPr="00E34195" w:rsidRDefault="00E94755" w:rsidP="002F54A2">
            <w:pPr>
              <w:rPr>
                <w:b/>
                <w:color w:val="00642D"/>
                <w:sz w:val="24"/>
                <w:szCs w:val="24"/>
              </w:rPr>
            </w:pPr>
            <w:r w:rsidRPr="00E34195">
              <w:rPr>
                <w:b/>
                <w:color w:val="00642D"/>
                <w:sz w:val="24"/>
                <w:szCs w:val="24"/>
              </w:rPr>
              <w:t>Entidad evaluada</w:t>
            </w:r>
          </w:p>
        </w:tc>
        <w:tc>
          <w:tcPr>
            <w:tcW w:w="6954" w:type="dxa"/>
          </w:tcPr>
          <w:p w:rsidR="00E94755" w:rsidRPr="00DB5742" w:rsidRDefault="00E94755" w:rsidP="00E94755">
            <w:r w:rsidRPr="00DB5742">
              <w:t>Colegio Oficial de Ingeniería Geomática y Topográf</w:t>
            </w:r>
            <w:r>
              <w:t>i</w:t>
            </w:r>
            <w:r w:rsidRPr="00DB5742">
              <w:t>ca</w:t>
            </w:r>
            <w:r w:rsidR="002A7A7D">
              <w:t xml:space="preserve"> (COIGT)</w:t>
            </w:r>
          </w:p>
        </w:tc>
      </w:tr>
      <w:tr w:rsidR="00E94755" w:rsidRPr="00CB5511" w:rsidTr="002F54A2">
        <w:tc>
          <w:tcPr>
            <w:tcW w:w="3652" w:type="dxa"/>
          </w:tcPr>
          <w:p w:rsidR="00E94755" w:rsidRPr="00E34195" w:rsidRDefault="00E94755" w:rsidP="002F54A2">
            <w:pPr>
              <w:rPr>
                <w:b/>
                <w:color w:val="00642D"/>
                <w:sz w:val="24"/>
                <w:szCs w:val="24"/>
              </w:rPr>
            </w:pPr>
            <w:r w:rsidRPr="00E34195">
              <w:rPr>
                <w:b/>
                <w:color w:val="00642D"/>
                <w:sz w:val="24"/>
                <w:szCs w:val="24"/>
              </w:rPr>
              <w:t>Fecha de la evaluación</w:t>
            </w:r>
          </w:p>
        </w:tc>
        <w:tc>
          <w:tcPr>
            <w:tcW w:w="6954" w:type="dxa"/>
          </w:tcPr>
          <w:p w:rsidR="00E94755" w:rsidRPr="00DB5742" w:rsidRDefault="00E94755" w:rsidP="00696357">
            <w:r>
              <w:t>14 de junio de 2021</w:t>
            </w:r>
          </w:p>
        </w:tc>
      </w:tr>
      <w:tr w:rsidR="00E94755" w:rsidRPr="00CB5511" w:rsidTr="002F54A2">
        <w:tc>
          <w:tcPr>
            <w:tcW w:w="3652" w:type="dxa"/>
          </w:tcPr>
          <w:p w:rsidR="00E94755" w:rsidRPr="00E34195" w:rsidRDefault="00E94755" w:rsidP="002F54A2">
            <w:pPr>
              <w:rPr>
                <w:b/>
                <w:color w:val="00642D"/>
                <w:sz w:val="24"/>
                <w:szCs w:val="24"/>
              </w:rPr>
            </w:pPr>
            <w:r w:rsidRPr="00E34195">
              <w:rPr>
                <w:b/>
                <w:color w:val="00642D"/>
                <w:sz w:val="24"/>
                <w:szCs w:val="24"/>
              </w:rPr>
              <w:t>URL de la entidad</w:t>
            </w:r>
          </w:p>
        </w:tc>
        <w:tc>
          <w:tcPr>
            <w:tcW w:w="6954" w:type="dxa"/>
          </w:tcPr>
          <w:p w:rsidR="00E94755" w:rsidRDefault="00E94755" w:rsidP="00696357">
            <w:r w:rsidRPr="00DB5742">
              <w:t>https://www.coigt.com/</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D33A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2A7A7D" w:rsidP="00CC02A3">
            <w:pPr>
              <w:jc w:val="both"/>
              <w:rPr>
                <w:sz w:val="20"/>
                <w:szCs w:val="20"/>
              </w:rPr>
            </w:pPr>
            <w:r>
              <w:rPr>
                <w:sz w:val="20"/>
                <w:szCs w:val="20"/>
              </w:rPr>
              <w:t>x</w:t>
            </w:r>
          </w:p>
        </w:tc>
        <w:tc>
          <w:tcPr>
            <w:tcW w:w="3969" w:type="dxa"/>
            <w:vMerge w:val="restart"/>
          </w:tcPr>
          <w:p w:rsidR="00CB5511" w:rsidRPr="000C6CFF" w:rsidRDefault="002A7A7D" w:rsidP="002A7A7D">
            <w:pPr>
              <w:jc w:val="both"/>
              <w:rPr>
                <w:sz w:val="20"/>
                <w:szCs w:val="20"/>
              </w:rPr>
            </w:pPr>
            <w:r>
              <w:rPr>
                <w:sz w:val="20"/>
                <w:szCs w:val="20"/>
              </w:rPr>
              <w:t>Cuenta con un apartado denominado “transparencia y buen gobierno” situado en la barra superior e inferior de su página home. Se informa de que se encuentra en construcción</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CB5511" w:rsidP="00CC02A3">
            <w:pPr>
              <w:jc w:val="both"/>
              <w:rPr>
                <w:sz w:val="24"/>
                <w:szCs w:val="24"/>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E46A54" w:rsidRDefault="00CB5511" w:rsidP="00CC02A3">
            <w:pPr>
              <w:jc w:val="both"/>
              <w:rPr>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932008" w:rsidP="00BB74A7">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F457E" w:rsidRDefault="002A7A7D" w:rsidP="00CC02A3">
            <w:pPr>
              <w:jc w:val="both"/>
              <w:rPr>
                <w:sz w:val="20"/>
                <w:szCs w:val="20"/>
              </w:rPr>
            </w:pPr>
            <w:r w:rsidRPr="00DF457E">
              <w:rPr>
                <w:sz w:val="20"/>
                <w:szCs w:val="20"/>
              </w:rPr>
              <w:t>x</w:t>
            </w:r>
          </w:p>
        </w:tc>
        <w:tc>
          <w:tcPr>
            <w:tcW w:w="3977" w:type="dxa"/>
            <w:vMerge/>
          </w:tcPr>
          <w:p w:rsidR="00932008" w:rsidRPr="00932008" w:rsidRDefault="00932008" w:rsidP="00CC02A3">
            <w:pPr>
              <w:jc w:val="both"/>
              <w:rPr>
                <w:sz w:val="20"/>
                <w:szCs w:val="20"/>
              </w:rPr>
            </w:pPr>
          </w:p>
        </w:tc>
      </w:tr>
    </w:tbl>
    <w:p w:rsidR="00561402" w:rsidRDefault="00561402" w:rsidP="003C63A1">
      <w:pPr>
        <w:jc w:val="center"/>
      </w:pPr>
    </w:p>
    <w:p w:rsidR="00DF457E" w:rsidRDefault="004A26E7" w:rsidP="004A26E7">
      <w:pPr>
        <w:jc w:val="center"/>
      </w:pPr>
      <w:r>
        <w:rPr>
          <w:noProof/>
        </w:rPr>
        <w:drawing>
          <wp:inline distT="0" distB="0" distL="0" distR="0" wp14:anchorId="667424DA" wp14:editId="0E38DC26">
            <wp:extent cx="4032000" cy="3319973"/>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170" t="5289" r="34077" b="5737"/>
                    <a:stretch/>
                  </pic:blipFill>
                  <pic:spPr bwMode="auto">
                    <a:xfrm>
                      <a:off x="0" y="0"/>
                      <a:ext cx="4032000" cy="3319973"/>
                    </a:xfrm>
                    <a:prstGeom prst="rect">
                      <a:avLst/>
                    </a:prstGeom>
                    <a:ln>
                      <a:noFill/>
                    </a:ln>
                    <a:extLst>
                      <a:ext uri="{53640926-AAD7-44D8-BBD7-CCE9431645EC}">
                        <a14:shadowObscured xmlns:a14="http://schemas.microsoft.com/office/drawing/2010/main"/>
                      </a:ext>
                    </a:extLst>
                  </pic:spPr>
                </pic:pic>
              </a:graphicData>
            </a:graphic>
          </wp:inline>
        </w:drawing>
      </w:r>
      <w:r w:rsidR="00DF457E">
        <w:br w:type="page"/>
      </w:r>
    </w:p>
    <w:p w:rsidR="003C63A1" w:rsidRDefault="00DF457E">
      <w:r>
        <w:lastRenderedPageBreak/>
        <w:t xml:space="preserve"> </w:t>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106572"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4A26E7">
            <w:pPr>
              <w:pStyle w:val="Cuerpodelboletn"/>
              <w:spacing w:before="120" w:after="120" w:line="312" w:lineRule="auto"/>
              <w:rPr>
                <w:rStyle w:val="Ttulo2Car"/>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4270D"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2A7A7D">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9693A" w:rsidRDefault="00DE4548" w:rsidP="00141E38">
            <w:pPr>
              <w:pStyle w:val="Cuerpodelboletn"/>
              <w:spacing w:before="120" w:after="120" w:line="312" w:lineRule="auto"/>
              <w:rPr>
                <w:rStyle w:val="Ttulo2Car"/>
                <w:sz w:val="20"/>
                <w:szCs w:val="20"/>
                <w:lang w:bidi="es-ES"/>
              </w:rPr>
            </w:pPr>
            <w:r w:rsidRPr="0059693A">
              <w:rPr>
                <w:sz w:val="20"/>
                <w:szCs w:val="20"/>
              </w:rPr>
              <w:t xml:space="preserve">No se ha localizado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34AC7" w:rsidRDefault="00141E38" w:rsidP="002A7A7D">
            <w:pPr>
              <w:pStyle w:val="Cuerpodelboletn"/>
              <w:spacing w:before="120" w:after="120" w:line="312" w:lineRule="auto"/>
              <w:rPr>
                <w:b/>
                <w:bCs/>
              </w:rPr>
            </w:pPr>
            <w:r>
              <w:rPr>
                <w:sz w:val="20"/>
                <w:szCs w:val="20"/>
              </w:rPr>
              <w:t>Se informa sobre l</w:t>
            </w:r>
            <w:r w:rsidR="002A7A7D">
              <w:rPr>
                <w:sz w:val="20"/>
                <w:szCs w:val="20"/>
              </w:rPr>
              <w:t xml:space="preserve">a Junta de Gobierno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106572">
            <w:pPr>
              <w:pStyle w:val="Cuerpodelboletn"/>
              <w:spacing w:before="120" w:after="120" w:line="312" w:lineRule="auto"/>
              <w:rPr>
                <w:rStyle w:val="Ttulo2Car"/>
                <w:sz w:val="20"/>
                <w:szCs w:val="20"/>
                <w:lang w:bidi="es-ES"/>
              </w:rPr>
            </w:pPr>
            <w:r w:rsidRPr="00D34AC7">
              <w:rPr>
                <w:sz w:val="20"/>
                <w:szCs w:val="20"/>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141E38">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2A7A7D" w:rsidP="00E3088D">
            <w:pPr>
              <w:pStyle w:val="Cuerpodelboletn"/>
              <w:spacing w:before="120" w:after="120" w:line="312" w:lineRule="auto"/>
              <w:rPr>
                <w:rStyle w:val="Ttulo2Car"/>
                <w:sz w:val="20"/>
                <w:szCs w:val="20"/>
                <w:lang w:bidi="es-ES"/>
              </w:rPr>
            </w:pPr>
            <w:r w:rsidRPr="002A7A7D">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3D1089">
            <w:pPr>
              <w:pStyle w:val="Cuerpodelboletn"/>
              <w:spacing w:before="120" w:after="120" w:line="312" w:lineRule="auto"/>
              <w:rPr>
                <w:rStyle w:val="Ttulo2Car"/>
                <w:sz w:val="20"/>
                <w:szCs w:val="20"/>
                <w:lang w:bidi="es-ES"/>
              </w:rPr>
            </w:pPr>
          </w:p>
        </w:tc>
      </w:tr>
    </w:tbl>
    <w:p w:rsidR="00473827" w:rsidRDefault="00473827" w:rsidP="00E3088D">
      <w:pPr>
        <w:pStyle w:val="Cuerpodelboletn"/>
        <w:spacing w:before="120" w:after="120" w:line="312" w:lineRule="auto"/>
        <w:ind w:left="360"/>
        <w:rPr>
          <w:rStyle w:val="Ttulo2Car"/>
          <w:i/>
          <w:lang w:bidi="es-ES"/>
        </w:rPr>
      </w:pPr>
    </w:p>
    <w:p w:rsidR="00473827" w:rsidRDefault="00473827">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11F76" w:rsidRDefault="00011F76">
                            <w:pPr>
                              <w:rPr>
                                <w:b/>
                                <w:color w:val="00642D"/>
                              </w:rPr>
                            </w:pPr>
                            <w:r w:rsidRPr="00BD4582">
                              <w:rPr>
                                <w:b/>
                                <w:color w:val="00642D"/>
                              </w:rPr>
                              <w:t>Contenidos</w:t>
                            </w:r>
                          </w:p>
                          <w:p w:rsidR="00011F76" w:rsidRDefault="00011F76"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011F76" w:rsidRDefault="00011F76"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011F76" w:rsidRDefault="00011F76" w:rsidP="00050F5F">
                            <w:pPr>
                              <w:pStyle w:val="Prrafodelista"/>
                              <w:numPr>
                                <w:ilvl w:val="0"/>
                                <w:numId w:val="6"/>
                              </w:numPr>
                              <w:spacing w:before="120" w:after="120" w:line="312" w:lineRule="auto"/>
                              <w:jc w:val="both"/>
                              <w:rPr>
                                <w:lang w:bidi="es-ES"/>
                              </w:rPr>
                            </w:pPr>
                            <w:r>
                              <w:rPr>
                                <w:lang w:bidi="es-ES"/>
                              </w:rPr>
                              <w:t>No se informa sobre toda la estructura organizativa de la Corporación, solo de sus órganos rectores</w:t>
                            </w:r>
                          </w:p>
                          <w:p w:rsidR="00011F76" w:rsidRDefault="00011F76"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011F76" w:rsidRDefault="00011F76">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B963F5" w:rsidRDefault="00B963F5">
                      <w:pPr>
                        <w:rPr>
                          <w:b/>
                          <w:color w:val="00642D"/>
                        </w:rPr>
                      </w:pPr>
                      <w:r w:rsidRPr="00BD4582">
                        <w:rPr>
                          <w:b/>
                          <w:color w:val="00642D"/>
                        </w:rPr>
                        <w:t>Contenidos</w:t>
                      </w:r>
                    </w:p>
                    <w:p w:rsidR="00B963F5" w:rsidRDefault="00B963F5"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B963F5" w:rsidRDefault="00B963F5"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B963F5" w:rsidRDefault="00B963F5" w:rsidP="00050F5F">
                      <w:pPr>
                        <w:pStyle w:val="Prrafodelista"/>
                        <w:numPr>
                          <w:ilvl w:val="0"/>
                          <w:numId w:val="6"/>
                        </w:numPr>
                        <w:spacing w:before="120" w:after="120" w:line="312" w:lineRule="auto"/>
                        <w:jc w:val="both"/>
                        <w:rPr>
                          <w:lang w:bidi="es-ES"/>
                        </w:rPr>
                      </w:pPr>
                      <w:r>
                        <w:rPr>
                          <w:lang w:bidi="es-ES"/>
                        </w:rPr>
                        <w:t>No se informa sobre toda la estructura organizativa de la Corporación, solo de sus órganos rectores</w:t>
                      </w:r>
                    </w:p>
                    <w:p w:rsidR="00B963F5" w:rsidRDefault="00B963F5"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B963F5" w:rsidRDefault="00B963F5">
                      <w:pPr>
                        <w:rPr>
                          <w:b/>
                          <w:color w:val="00642D"/>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DF457E">
            <w:pPr>
              <w:pStyle w:val="Cuerpodelboletn"/>
              <w:spacing w:before="120" w:after="120" w:line="312" w:lineRule="auto"/>
              <w:rPr>
                <w:rStyle w:val="Ttulo2Car"/>
                <w:sz w:val="20"/>
                <w:szCs w:val="20"/>
                <w:lang w:bidi="es-ES"/>
              </w:rPr>
            </w:pPr>
            <w:r w:rsidRPr="00DE4548">
              <w:t>No se ha localizado información</w:t>
            </w:r>
            <w:r w:rsidR="00D34AC7">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E80D54" w:rsidP="009609E9">
            <w:pPr>
              <w:pStyle w:val="Cuerpodelboletn"/>
              <w:spacing w:before="120" w:after="120" w:line="312" w:lineRule="auto"/>
              <w:rPr>
                <w:rStyle w:val="Ttulo2Car"/>
                <w:b w:val="0"/>
                <w:sz w:val="28"/>
                <w:szCs w:val="28"/>
                <w:lang w:bidi="es-ES"/>
              </w:rPr>
            </w:pPr>
            <w:r w:rsidRPr="00E80D54">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E80D54" w:rsidP="00E80D54">
            <w:pPr>
              <w:pStyle w:val="Cuerpodelboletn"/>
              <w:spacing w:before="120" w:after="120" w:line="312" w:lineRule="auto"/>
              <w:rPr>
                <w:rFonts w:cs="Arial"/>
                <w:bCs/>
                <w:color w:val="000000" w:themeColor="text1"/>
                <w:szCs w:val="22"/>
              </w:rPr>
            </w:pPr>
            <w:r>
              <w:t xml:space="preserve">Al margen del Portal informa sobre un convenio suscrito con la Dirección General del Catastro, </w:t>
            </w:r>
            <w:r w:rsidR="00965535">
              <w:t xml:space="preserve">y facilita el enlace a su publicación en el BOE. </w:t>
            </w:r>
            <w:r>
              <w:t xml:space="preserve"> Pero se desconoce si es el único convenio suscrito </w:t>
            </w:r>
            <w:r>
              <w:rPr>
                <w:rFonts w:cs="Arial"/>
                <w:bCs/>
                <w:color w:val="000000" w:themeColor="text1"/>
                <w:szCs w:val="22"/>
              </w:rPr>
              <w:t>en el ejercicio de las funciones públicas que le han sido conferidas,</w:t>
            </w:r>
          </w:p>
          <w:p w:rsidR="00E80D54" w:rsidRPr="00CB5511" w:rsidRDefault="00E80D54" w:rsidP="00E80D54">
            <w:pPr>
              <w:pStyle w:val="Cuerpodelboletn"/>
              <w:spacing w:before="120" w:after="120" w:line="312" w:lineRule="auto"/>
              <w:rPr>
                <w:rStyle w:val="Ttulo2Car"/>
                <w:sz w:val="20"/>
                <w:szCs w:val="20"/>
                <w:lang w:bidi="es-ES"/>
              </w:rPr>
            </w:pP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DE4548">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4C6B" w:rsidP="00BB5944">
            <w:pPr>
              <w:pStyle w:val="Cuerpodelboletn"/>
              <w:spacing w:before="120" w:after="120" w:line="312" w:lineRule="auto"/>
              <w:rPr>
                <w:rStyle w:val="Ttulo2Car"/>
                <w:sz w:val="20"/>
                <w:szCs w:val="20"/>
                <w:lang w:bidi="es-ES"/>
              </w:rPr>
            </w:pPr>
            <w:r w:rsidRPr="00DE4548">
              <w:t>No se ha localizado información</w:t>
            </w:r>
          </w:p>
        </w:tc>
      </w:tr>
    </w:tbl>
    <w:p w:rsidR="00856435" w:rsidRDefault="00856435" w:rsidP="00C33A23">
      <w:pPr>
        <w:pStyle w:val="Cuerpodelboletn"/>
        <w:spacing w:before="120" w:after="120" w:line="312" w:lineRule="auto"/>
        <w:ind w:left="360"/>
        <w:rPr>
          <w:rStyle w:val="Ttulo2Car"/>
          <w:color w:val="00642D"/>
          <w:lang w:bidi="es-ES"/>
        </w:rPr>
      </w:pPr>
    </w:p>
    <w:p w:rsidR="00856435" w:rsidRDefault="00856435">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11F76" w:rsidRPr="00E80D54" w:rsidRDefault="00011F76" w:rsidP="00E80D54">
                            <w:pPr>
                              <w:rPr>
                                <w:b/>
                                <w:color w:val="00642D"/>
                              </w:rPr>
                            </w:pPr>
                            <w:r w:rsidRPr="00E80D54">
                              <w:rPr>
                                <w:b/>
                                <w:color w:val="00642D"/>
                              </w:rPr>
                              <w:t>Contenidos</w:t>
                            </w:r>
                          </w:p>
                          <w:p w:rsidR="00011F76" w:rsidRPr="00E80D54" w:rsidRDefault="00011F76" w:rsidP="00E80D54">
                            <w:pPr>
                              <w:spacing w:before="120" w:after="120" w:line="312" w:lineRule="auto"/>
                              <w:jc w:val="both"/>
                              <w:rPr>
                                <w:lang w:bidi="es-ES"/>
                              </w:rPr>
                            </w:pPr>
                            <w:r w:rsidRPr="00E80D54">
                              <w:rPr>
                                <w:lang w:bidi="es-ES"/>
                              </w:rPr>
                              <w:t xml:space="preserve">Los </w:t>
                            </w:r>
                            <w:r w:rsidRPr="00E80D54">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sidRPr="00E80D54">
                              <w:rPr>
                                <w:lang w:bidi="es-ES"/>
                              </w:rPr>
                              <w:t xml:space="preserve"> incorporados correspondientes a este grupo de obligaciones </w:t>
                            </w:r>
                            <w:r w:rsidRPr="00E80D54">
                              <w:rPr>
                                <w:b/>
                                <w:lang w:bidi="es-ES"/>
                              </w:rPr>
                              <w:t>no recogen</w:t>
                            </w:r>
                            <w:r w:rsidRPr="00E80D54">
                              <w:rPr>
                                <w:lang w:bidi="es-ES"/>
                              </w:rPr>
                              <w:t xml:space="preserve"> la totalidad de las informaciones contempladas en el artículo 8 de la LTAIBG aplicables: </w:t>
                            </w:r>
                          </w:p>
                          <w:p w:rsidR="00011F76" w:rsidRPr="00E80D54" w:rsidRDefault="00011F76"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No se informa sobre contratos</w:t>
                            </w:r>
                          </w:p>
                          <w:p w:rsidR="00011F76" w:rsidRDefault="00011F76"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 xml:space="preserve">En cuanto a los convenios, </w:t>
                            </w:r>
                            <w:r>
                              <w:rPr>
                                <w:rFonts w:eastAsiaTheme="minorHAnsi"/>
                                <w:szCs w:val="24"/>
                                <w:lang w:eastAsia="en-US" w:bidi="es-ES"/>
                              </w:rPr>
                              <w:t>se desconoce si la información está completa.</w:t>
                            </w:r>
                          </w:p>
                          <w:p w:rsidR="00011F76" w:rsidRPr="00E80D54" w:rsidRDefault="00011F76"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No se informa sobre encomiendas de gestión</w:t>
                            </w:r>
                          </w:p>
                          <w:p w:rsidR="00011F76" w:rsidRPr="00E80D54" w:rsidRDefault="00011F76"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 xml:space="preserve">No se informa sobre subvenciones y ayudas públicas percibidas. </w:t>
                            </w:r>
                          </w:p>
                          <w:p w:rsidR="00011F76" w:rsidRPr="00E80D54" w:rsidRDefault="00011F76" w:rsidP="00E80D54">
                            <w:pPr>
                              <w:rPr>
                                <w:b/>
                                <w:color w:val="00642D"/>
                              </w:rPr>
                            </w:pPr>
                          </w:p>
                          <w:p w:rsidR="00011F76" w:rsidRPr="00E80D54" w:rsidRDefault="00011F76" w:rsidP="00E80D54">
                            <w:pPr>
                              <w:rPr>
                                <w:b/>
                                <w:color w:val="00642D"/>
                              </w:rPr>
                            </w:pPr>
                            <w:r w:rsidRPr="00E80D54">
                              <w:rPr>
                                <w:b/>
                                <w:color w:val="00642D"/>
                              </w:rPr>
                              <w:t>Calidad de la Información</w:t>
                            </w:r>
                          </w:p>
                          <w:p w:rsidR="00011F76" w:rsidRPr="00E80D54" w:rsidRDefault="00011F76" w:rsidP="00E80D54">
                            <w:pPr>
                              <w:numPr>
                                <w:ilvl w:val="0"/>
                                <w:numId w:val="4"/>
                              </w:numPr>
                              <w:spacing w:before="120" w:after="120" w:line="312" w:lineRule="auto"/>
                              <w:ind w:left="0" w:firstLine="0"/>
                              <w:contextualSpacing/>
                              <w:jc w:val="both"/>
                              <w:rPr>
                                <w:rFonts w:eastAsiaTheme="minorHAnsi"/>
                                <w:b/>
                                <w:color w:val="00642D"/>
                                <w:szCs w:val="24"/>
                                <w:lang w:eastAsia="en-US"/>
                              </w:rPr>
                            </w:pPr>
                            <w:r w:rsidRPr="00E80D54">
                              <w:rPr>
                                <w:rFonts w:eastAsiaTheme="minorHAnsi"/>
                                <w:szCs w:val="24"/>
                                <w:lang w:eastAsia="en-US" w:bidi="es-ES"/>
                              </w:rPr>
                              <w:t xml:space="preserve">La información </w:t>
                            </w:r>
                            <w:r>
                              <w:rPr>
                                <w:rFonts w:eastAsiaTheme="minorHAnsi"/>
                                <w:szCs w:val="24"/>
                                <w:lang w:eastAsia="en-US" w:bidi="es-ES"/>
                              </w:rPr>
                              <w:t>sobre el convenio se publica al margen del Portal de transparencia</w:t>
                            </w:r>
                            <w:r w:rsidRPr="00E80D54">
                              <w:rPr>
                                <w:rFonts w:eastAsiaTheme="minorHAnsi"/>
                                <w:szCs w:val="24"/>
                                <w:lang w:eastAsia="en-US"/>
                              </w:rPr>
                              <w:t xml:space="preserve">. </w:t>
                            </w:r>
                          </w:p>
                          <w:p w:rsidR="00011F76" w:rsidRDefault="00011F76" w:rsidP="00856435">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B963F5" w:rsidRPr="00E80D54" w:rsidRDefault="00B963F5" w:rsidP="00E80D54">
                      <w:pPr>
                        <w:rPr>
                          <w:b/>
                          <w:color w:val="00642D"/>
                        </w:rPr>
                      </w:pPr>
                      <w:r w:rsidRPr="00E80D54">
                        <w:rPr>
                          <w:b/>
                          <w:color w:val="00642D"/>
                        </w:rPr>
                        <w:t>Contenidos</w:t>
                      </w:r>
                    </w:p>
                    <w:p w:rsidR="00B963F5" w:rsidRPr="00E80D54" w:rsidRDefault="00B963F5" w:rsidP="00E80D54">
                      <w:pPr>
                        <w:spacing w:before="120" w:after="120" w:line="312" w:lineRule="auto"/>
                        <w:jc w:val="both"/>
                        <w:rPr>
                          <w:lang w:bidi="es-ES"/>
                        </w:rPr>
                      </w:pPr>
                      <w:r w:rsidRPr="00E80D54">
                        <w:rPr>
                          <w:lang w:bidi="es-ES"/>
                        </w:rPr>
                        <w:t xml:space="preserve">Los </w:t>
                      </w:r>
                      <w:r w:rsidRPr="00E80D54">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sidRPr="00E80D54">
                        <w:rPr>
                          <w:lang w:bidi="es-ES"/>
                        </w:rPr>
                        <w:t xml:space="preserve"> incorporados correspondientes a este grupo de obligaciones </w:t>
                      </w:r>
                      <w:r w:rsidRPr="00E80D54">
                        <w:rPr>
                          <w:b/>
                          <w:lang w:bidi="es-ES"/>
                        </w:rPr>
                        <w:t>no recogen</w:t>
                      </w:r>
                      <w:r w:rsidRPr="00E80D54">
                        <w:rPr>
                          <w:lang w:bidi="es-ES"/>
                        </w:rPr>
                        <w:t xml:space="preserve"> la totalidad de las informaciones contempladas en el artículo 8 de la LTAIBG aplicables: </w:t>
                      </w:r>
                    </w:p>
                    <w:p w:rsidR="00B963F5" w:rsidRPr="00E80D54" w:rsidRDefault="00B963F5"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No se informa sobre contratos</w:t>
                      </w:r>
                    </w:p>
                    <w:p w:rsidR="00B963F5" w:rsidRDefault="00B963F5"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 xml:space="preserve">En cuanto a los convenios, </w:t>
                      </w:r>
                      <w:r>
                        <w:rPr>
                          <w:rFonts w:eastAsiaTheme="minorHAnsi"/>
                          <w:szCs w:val="24"/>
                          <w:lang w:eastAsia="en-US" w:bidi="es-ES"/>
                        </w:rPr>
                        <w:t>se desconoce si la información está completa.</w:t>
                      </w:r>
                    </w:p>
                    <w:p w:rsidR="00B963F5" w:rsidRPr="00E80D54" w:rsidRDefault="00B963F5"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No se informa sobre encomiendas de gestión</w:t>
                      </w:r>
                    </w:p>
                    <w:p w:rsidR="00B963F5" w:rsidRPr="00E80D54" w:rsidRDefault="00B963F5" w:rsidP="00E80D54">
                      <w:pPr>
                        <w:numPr>
                          <w:ilvl w:val="0"/>
                          <w:numId w:val="6"/>
                        </w:numPr>
                        <w:spacing w:before="120" w:after="120" w:line="312" w:lineRule="auto"/>
                        <w:contextualSpacing/>
                        <w:jc w:val="both"/>
                        <w:rPr>
                          <w:rFonts w:eastAsiaTheme="minorHAnsi"/>
                          <w:szCs w:val="24"/>
                          <w:lang w:eastAsia="en-US" w:bidi="es-ES"/>
                        </w:rPr>
                      </w:pPr>
                      <w:r w:rsidRPr="00E80D54">
                        <w:rPr>
                          <w:rFonts w:eastAsiaTheme="minorHAnsi"/>
                          <w:szCs w:val="24"/>
                          <w:lang w:eastAsia="en-US" w:bidi="es-ES"/>
                        </w:rPr>
                        <w:t xml:space="preserve">No se informa sobre subvenciones y ayudas públicas percibidas. </w:t>
                      </w:r>
                    </w:p>
                    <w:p w:rsidR="00B963F5" w:rsidRPr="00E80D54" w:rsidRDefault="00B963F5" w:rsidP="00E80D54">
                      <w:pPr>
                        <w:rPr>
                          <w:b/>
                          <w:color w:val="00642D"/>
                        </w:rPr>
                      </w:pPr>
                    </w:p>
                    <w:p w:rsidR="00B963F5" w:rsidRPr="00E80D54" w:rsidRDefault="00B963F5" w:rsidP="00E80D54">
                      <w:pPr>
                        <w:rPr>
                          <w:b/>
                          <w:color w:val="00642D"/>
                        </w:rPr>
                      </w:pPr>
                      <w:r w:rsidRPr="00E80D54">
                        <w:rPr>
                          <w:b/>
                          <w:color w:val="00642D"/>
                        </w:rPr>
                        <w:t>Calidad de la Información</w:t>
                      </w:r>
                    </w:p>
                    <w:p w:rsidR="00B963F5" w:rsidRPr="00E80D54" w:rsidRDefault="00B963F5" w:rsidP="00E80D54">
                      <w:pPr>
                        <w:numPr>
                          <w:ilvl w:val="0"/>
                          <w:numId w:val="4"/>
                        </w:numPr>
                        <w:spacing w:before="120" w:after="120" w:line="312" w:lineRule="auto"/>
                        <w:ind w:left="0" w:firstLine="0"/>
                        <w:contextualSpacing/>
                        <w:jc w:val="both"/>
                        <w:rPr>
                          <w:rFonts w:eastAsiaTheme="minorHAnsi"/>
                          <w:b/>
                          <w:color w:val="00642D"/>
                          <w:szCs w:val="24"/>
                          <w:lang w:eastAsia="en-US"/>
                        </w:rPr>
                      </w:pPr>
                      <w:r w:rsidRPr="00E80D54">
                        <w:rPr>
                          <w:rFonts w:eastAsiaTheme="minorHAnsi"/>
                          <w:szCs w:val="24"/>
                          <w:lang w:eastAsia="en-US" w:bidi="es-ES"/>
                        </w:rPr>
                        <w:t xml:space="preserve">La información </w:t>
                      </w:r>
                      <w:r>
                        <w:rPr>
                          <w:rFonts w:eastAsiaTheme="minorHAnsi"/>
                          <w:szCs w:val="24"/>
                          <w:lang w:eastAsia="en-US" w:bidi="es-ES"/>
                        </w:rPr>
                        <w:t>sobre el convenio se publica al margen del Portal de transparencia</w:t>
                      </w:r>
                      <w:r w:rsidRPr="00E80D54">
                        <w:rPr>
                          <w:rFonts w:eastAsiaTheme="minorHAnsi"/>
                          <w:szCs w:val="24"/>
                          <w:lang w:eastAsia="en-US"/>
                        </w:rPr>
                        <w:t xml:space="preserve">. </w:t>
                      </w:r>
                    </w:p>
                    <w:p w:rsidR="00B963F5" w:rsidRDefault="00B963F5" w:rsidP="00856435">
                      <w:pPr>
                        <w:rPr>
                          <w:b/>
                          <w:color w:val="00642D"/>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856435" w:rsidRDefault="00856435"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E80D54" w:rsidRDefault="00E80D54">
      <w:pPr>
        <w:rPr>
          <w:b/>
          <w:color w:val="50866C"/>
          <w:sz w:val="32"/>
          <w:szCs w:val="24"/>
        </w:rPr>
      </w:pPr>
    </w:p>
    <w:p w:rsidR="00E80D54" w:rsidRDefault="00E80D54">
      <w:pPr>
        <w:rPr>
          <w:b/>
          <w:color w:val="50866C"/>
          <w:sz w:val="32"/>
          <w:szCs w:val="24"/>
        </w:rPr>
      </w:pPr>
    </w:p>
    <w:p w:rsidR="00E80D54" w:rsidRDefault="00E80D54">
      <w:pPr>
        <w:rPr>
          <w:b/>
          <w:color w:val="50866C"/>
          <w:sz w:val="32"/>
          <w:szCs w:val="24"/>
        </w:rPr>
      </w:pPr>
    </w:p>
    <w:p w:rsidR="00E80D54" w:rsidRDefault="00E80D54">
      <w:pPr>
        <w:rPr>
          <w:b/>
          <w:color w:val="50866C"/>
          <w:sz w:val="32"/>
          <w:szCs w:val="24"/>
        </w:rPr>
      </w:pPr>
    </w:p>
    <w:p w:rsidR="00E80D54" w:rsidRDefault="00E80D54">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11F76" w:rsidRPr="00FD0689" w:rsidTr="00011F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11F76" w:rsidRPr="00FD0689" w:rsidRDefault="00011F76"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57,1</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71,4</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71,4</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71,4</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71,4</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71,4</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71,4</w:t>
            </w:r>
          </w:p>
        </w:tc>
        <w:tc>
          <w:tcPr>
            <w:tcW w:w="0" w:type="auto"/>
            <w:noWrap/>
            <w:vAlign w:val="center"/>
          </w:tcPr>
          <w:p w:rsidR="00011F76" w:rsidRPr="00011F76" w:rsidRDefault="00011F76" w:rsidP="00011F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011F76">
              <w:rPr>
                <w:sz w:val="18"/>
                <w:szCs w:val="18"/>
              </w:rPr>
              <w:t>69,4</w:t>
            </w:r>
          </w:p>
        </w:tc>
      </w:tr>
      <w:tr w:rsidR="000F0DDF" w:rsidRPr="00FD0689" w:rsidTr="000F0DD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F0DDF" w:rsidRPr="00FD0689" w:rsidRDefault="000F0DDF"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4,3</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14,3</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14,3</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14,3</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14,3</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14,3</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7,1</w:t>
            </w:r>
          </w:p>
        </w:tc>
        <w:tc>
          <w:tcPr>
            <w:tcW w:w="0" w:type="auto"/>
            <w:noWrap/>
            <w:vAlign w:val="center"/>
          </w:tcPr>
          <w:p w:rsidR="000F0DDF" w:rsidRPr="000F0DDF" w:rsidRDefault="000F0DDF" w:rsidP="000F0DDF">
            <w:pPr>
              <w:jc w:val="center"/>
              <w:cnfStyle w:val="000000000000" w:firstRow="0" w:lastRow="0" w:firstColumn="0" w:lastColumn="0" w:oddVBand="0" w:evenVBand="0" w:oddHBand="0" w:evenHBand="0" w:firstRowFirstColumn="0" w:firstRowLastColumn="0" w:lastRowFirstColumn="0" w:lastRowLastColumn="0"/>
              <w:rPr>
                <w:sz w:val="18"/>
                <w:szCs w:val="18"/>
              </w:rPr>
            </w:pPr>
            <w:r w:rsidRPr="000F0DDF">
              <w:rPr>
                <w:sz w:val="18"/>
                <w:szCs w:val="18"/>
              </w:rPr>
              <w:t>11,8</w:t>
            </w:r>
          </w:p>
        </w:tc>
      </w:tr>
      <w:tr w:rsidR="000F0DDF" w:rsidRPr="00A94BCA" w:rsidTr="000F0D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F0DDF" w:rsidRPr="002A154B" w:rsidRDefault="000F0DD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28,7</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40,0</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40,0</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40,0</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40,0</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40,0</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36,7</w:t>
            </w:r>
          </w:p>
        </w:tc>
        <w:tc>
          <w:tcPr>
            <w:tcW w:w="0" w:type="auto"/>
            <w:noWrap/>
            <w:vAlign w:val="center"/>
          </w:tcPr>
          <w:p w:rsidR="000F0DDF" w:rsidRPr="000F0DDF" w:rsidRDefault="000F0DDF" w:rsidP="000F0DDF">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0F0DDF">
              <w:rPr>
                <w:b/>
                <w:i/>
                <w:sz w:val="18"/>
                <w:szCs w:val="18"/>
              </w:rPr>
              <w:t>37,9</w:t>
            </w:r>
          </w:p>
        </w:tc>
      </w:tr>
    </w:tbl>
    <w:p w:rsidR="00BD4582" w:rsidRDefault="00BD4582" w:rsidP="00011F76">
      <w:pPr>
        <w:pStyle w:val="Cuerpodelboletn"/>
        <w:spacing w:before="120" w:after="120" w:line="312" w:lineRule="auto"/>
        <w:rPr>
          <w:b/>
          <w:color w:val="50866C"/>
          <w:sz w:val="32"/>
        </w:rPr>
      </w:pPr>
    </w:p>
    <w:p w:rsidR="00011F76" w:rsidRDefault="00011F76" w:rsidP="00011F76">
      <w:pPr>
        <w:jc w:val="both"/>
      </w:pPr>
      <w:r>
        <w:t>El Índice de Cumplimiento de la Información Obligatoria (ICIO) se sitúa en el 37,9%. La falta de publicación de contenidos obligatorios – solo se publica el 28,7% de las informaciones obligatorias – y la falta de referencias a la última fecha en que se revisó o actualizó la información, explican el nivel de cumplimiento alcanzado.</w:t>
      </w:r>
    </w:p>
    <w:p w:rsidR="00011F76" w:rsidRDefault="00011F76" w:rsidP="00011F76">
      <w:pPr>
        <w:pStyle w:val="Cuerpodelboletn"/>
        <w:spacing w:before="120" w:after="120" w:line="312" w:lineRule="auto"/>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11F76" w:rsidRDefault="00011F76">
                            <w:pPr>
                              <w:rPr>
                                <w:b/>
                                <w:color w:val="00642D"/>
                              </w:rPr>
                            </w:pPr>
                            <w:r w:rsidRPr="002A154B">
                              <w:rPr>
                                <w:b/>
                                <w:color w:val="00642D"/>
                              </w:rPr>
                              <w:t xml:space="preserve">Transparencia </w:t>
                            </w:r>
                            <w:r>
                              <w:rPr>
                                <w:b/>
                                <w:color w:val="00642D"/>
                              </w:rPr>
                              <w:t>Voluntaria</w:t>
                            </w:r>
                          </w:p>
                          <w:p w:rsidR="00011F76" w:rsidRDefault="00011F76" w:rsidP="00473827">
                            <w:pPr>
                              <w:pStyle w:val="Cuerpodelboletn"/>
                              <w:spacing w:before="120" w:after="120" w:line="312" w:lineRule="auto"/>
                            </w:pPr>
                            <w:r>
                              <w:t xml:space="preserve">El </w:t>
                            </w:r>
                            <w:r w:rsidRPr="00DB5742">
                              <w:t>Colegio Oficial de Ingeniería Geomática y Topográf</w:t>
                            </w:r>
                            <w:r>
                              <w:t>i</w:t>
                            </w:r>
                            <w:r w:rsidRPr="00DB5742">
                              <w:t>ca</w:t>
                            </w:r>
                            <w:r>
                              <w:t xml:space="preserve"> </w:t>
                            </w:r>
                            <w:r w:rsidRPr="00473827">
                              <w:t>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011F76" w:rsidRDefault="00011F76" w:rsidP="00473827">
                            <w:pPr>
                              <w:pStyle w:val="Cuerpodelboletn"/>
                              <w:numPr>
                                <w:ilvl w:val="0"/>
                                <w:numId w:val="19"/>
                              </w:numPr>
                              <w:spacing w:before="120" w:after="120" w:line="312" w:lineRule="auto"/>
                            </w:pPr>
                            <w:r>
                              <w:t>Memorias anuales (hasta 2019, inclusive)</w:t>
                            </w:r>
                          </w:p>
                          <w:p w:rsidR="00011F76" w:rsidRDefault="00011F76" w:rsidP="00473827">
                            <w:pPr>
                              <w:pStyle w:val="Cuerpodelboletn"/>
                              <w:numPr>
                                <w:ilvl w:val="0"/>
                                <w:numId w:val="19"/>
                              </w:numPr>
                              <w:spacing w:before="120" w:after="120" w:line="312" w:lineRule="auto"/>
                            </w:pPr>
                            <w:r>
                              <w:t>Código Deontológico</w:t>
                            </w:r>
                          </w:p>
                          <w:p w:rsidR="00011F76" w:rsidRPr="00E80D54" w:rsidRDefault="00011F76" w:rsidP="00050F5F">
                            <w:pPr>
                              <w:pStyle w:val="Cuerpodelboletn"/>
                              <w:numPr>
                                <w:ilvl w:val="0"/>
                                <w:numId w:val="19"/>
                              </w:numPr>
                              <w:spacing w:before="120" w:after="120" w:line="312" w:lineRule="auto"/>
                              <w:rPr>
                                <w:b/>
                                <w:color w:val="00642D"/>
                              </w:rPr>
                            </w:pPr>
                            <w:r>
                              <w:t>Datos de contacto de todas las CCAA en donde poder formular quejas y reclamaciones y plantear consultas</w:t>
                            </w:r>
                          </w:p>
                          <w:p w:rsidR="00011F76" w:rsidRPr="00E80D54" w:rsidRDefault="00011F76" w:rsidP="00050F5F">
                            <w:pPr>
                              <w:pStyle w:val="Cuerpodelboletn"/>
                              <w:numPr>
                                <w:ilvl w:val="0"/>
                                <w:numId w:val="19"/>
                              </w:numPr>
                              <w:spacing w:before="120" w:after="120" w:line="312" w:lineRule="auto"/>
                              <w:rPr>
                                <w:b/>
                                <w:color w:val="00642D"/>
                              </w:rPr>
                            </w:pPr>
                            <w:r>
                              <w:t>Catálogo de colegiados</w:t>
                            </w:r>
                          </w:p>
                          <w:p w:rsidR="00011F76" w:rsidRPr="00965535" w:rsidRDefault="00011F76" w:rsidP="00050F5F">
                            <w:pPr>
                              <w:pStyle w:val="Cuerpodelboletn"/>
                              <w:numPr>
                                <w:ilvl w:val="0"/>
                                <w:numId w:val="19"/>
                              </w:numPr>
                              <w:spacing w:before="120" w:after="120" w:line="312" w:lineRule="auto"/>
                              <w:rPr>
                                <w:b/>
                                <w:color w:val="00642D"/>
                              </w:rPr>
                            </w:pPr>
                            <w:r>
                              <w:t>Bolsa de empleo</w:t>
                            </w:r>
                          </w:p>
                          <w:p w:rsidR="00011F76" w:rsidRPr="00D05F02" w:rsidRDefault="00011F76" w:rsidP="00965535">
                            <w:pPr>
                              <w:pStyle w:val="Cuerpodelboletn"/>
                              <w:spacing w:before="120" w:after="120" w:line="312" w:lineRule="auto"/>
                              <w:ind w:left="360"/>
                              <w:rPr>
                                <w:b/>
                                <w:color w:val="00642D"/>
                              </w:rPr>
                            </w:pPr>
                            <w:r>
                              <w:t xml:space="preserve">No ha sido posible tener en cuenta otra información por ser de acceso restringido a los colegiados: control presupuestario, licitaciones y estadísticas colegiales.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B963F5" w:rsidRDefault="00B963F5">
                      <w:pPr>
                        <w:rPr>
                          <w:b/>
                          <w:color w:val="00642D"/>
                        </w:rPr>
                      </w:pPr>
                      <w:r w:rsidRPr="002A154B">
                        <w:rPr>
                          <w:b/>
                          <w:color w:val="00642D"/>
                        </w:rPr>
                        <w:t xml:space="preserve">Transparencia </w:t>
                      </w:r>
                      <w:r>
                        <w:rPr>
                          <w:b/>
                          <w:color w:val="00642D"/>
                        </w:rPr>
                        <w:t>Voluntaria</w:t>
                      </w:r>
                    </w:p>
                    <w:p w:rsidR="00B963F5" w:rsidRDefault="00B963F5" w:rsidP="00473827">
                      <w:pPr>
                        <w:pStyle w:val="Cuerpodelboletn"/>
                        <w:spacing w:before="120" w:after="120" w:line="312" w:lineRule="auto"/>
                      </w:pPr>
                      <w:r>
                        <w:t xml:space="preserve">El </w:t>
                      </w:r>
                      <w:r w:rsidRPr="00DB5742">
                        <w:t>Colegio Oficial de Ingeniería Geomática y Topográf</w:t>
                      </w:r>
                      <w:r>
                        <w:t>i</w:t>
                      </w:r>
                      <w:r w:rsidRPr="00DB5742">
                        <w:t>ca</w:t>
                      </w:r>
                      <w:r>
                        <w:t xml:space="preserve"> </w:t>
                      </w:r>
                      <w:r w:rsidRPr="00473827">
                        <w:t>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B963F5" w:rsidRDefault="00B963F5" w:rsidP="00473827">
                      <w:pPr>
                        <w:pStyle w:val="Cuerpodelboletn"/>
                        <w:numPr>
                          <w:ilvl w:val="0"/>
                          <w:numId w:val="19"/>
                        </w:numPr>
                        <w:spacing w:before="120" w:after="120" w:line="312" w:lineRule="auto"/>
                      </w:pPr>
                      <w:r>
                        <w:t>Memorias anuales (hasta 2019, inclusive)</w:t>
                      </w:r>
                    </w:p>
                    <w:p w:rsidR="00B963F5" w:rsidRDefault="00B963F5" w:rsidP="00473827">
                      <w:pPr>
                        <w:pStyle w:val="Cuerpodelboletn"/>
                        <w:numPr>
                          <w:ilvl w:val="0"/>
                          <w:numId w:val="19"/>
                        </w:numPr>
                        <w:spacing w:before="120" w:after="120" w:line="312" w:lineRule="auto"/>
                      </w:pPr>
                      <w:r>
                        <w:t>Código Deontológico</w:t>
                      </w:r>
                    </w:p>
                    <w:p w:rsidR="00B963F5" w:rsidRPr="00E80D54" w:rsidRDefault="00B963F5" w:rsidP="00050F5F">
                      <w:pPr>
                        <w:pStyle w:val="Cuerpodelboletn"/>
                        <w:numPr>
                          <w:ilvl w:val="0"/>
                          <w:numId w:val="19"/>
                        </w:numPr>
                        <w:spacing w:before="120" w:after="120" w:line="312" w:lineRule="auto"/>
                        <w:rPr>
                          <w:b/>
                          <w:color w:val="00642D"/>
                        </w:rPr>
                      </w:pPr>
                      <w:r>
                        <w:t>Datos de contacto de todas las CCAA en donde poder formular quejas y reclamaciones y plantear consultas</w:t>
                      </w:r>
                    </w:p>
                    <w:p w:rsidR="00B963F5" w:rsidRPr="00E80D54" w:rsidRDefault="00B963F5" w:rsidP="00050F5F">
                      <w:pPr>
                        <w:pStyle w:val="Cuerpodelboletn"/>
                        <w:numPr>
                          <w:ilvl w:val="0"/>
                          <w:numId w:val="19"/>
                        </w:numPr>
                        <w:spacing w:before="120" w:after="120" w:line="312" w:lineRule="auto"/>
                        <w:rPr>
                          <w:b/>
                          <w:color w:val="00642D"/>
                        </w:rPr>
                      </w:pPr>
                      <w:r>
                        <w:t>Catálogo de colegiados</w:t>
                      </w:r>
                    </w:p>
                    <w:p w:rsidR="00B963F5" w:rsidRPr="00965535" w:rsidRDefault="00B963F5" w:rsidP="00050F5F">
                      <w:pPr>
                        <w:pStyle w:val="Cuerpodelboletn"/>
                        <w:numPr>
                          <w:ilvl w:val="0"/>
                          <w:numId w:val="19"/>
                        </w:numPr>
                        <w:spacing w:before="120" w:after="120" w:line="312" w:lineRule="auto"/>
                        <w:rPr>
                          <w:b/>
                          <w:color w:val="00642D"/>
                        </w:rPr>
                      </w:pPr>
                      <w:r>
                        <w:t>Bolsa de empleo</w:t>
                      </w:r>
                    </w:p>
                    <w:p w:rsidR="00B963F5" w:rsidRPr="00D05F02" w:rsidRDefault="00B963F5" w:rsidP="00965535">
                      <w:pPr>
                        <w:pStyle w:val="Cuerpodelboletn"/>
                        <w:spacing w:before="120" w:after="120" w:line="312" w:lineRule="auto"/>
                        <w:ind w:left="360"/>
                        <w:rPr>
                          <w:b/>
                          <w:color w:val="00642D"/>
                        </w:rPr>
                      </w:pPr>
                      <w:r>
                        <w:t xml:space="preserve">No ha sido posible tener en cuenta otra información por ser de acceso restringido a los colegiados: control presupuestario, licitaciones y estadísticas colegiales. </w:t>
                      </w:r>
                    </w:p>
                  </w:txbxContent>
                </v:textbox>
              </v:shape>
            </w:pict>
          </mc:Fallback>
        </mc:AlternateContent>
      </w:r>
    </w:p>
    <w:p w:rsidR="00932008" w:rsidRDefault="00932008"/>
    <w:p w:rsidR="00932008" w:rsidRDefault="00932008"/>
    <w:p w:rsidR="00932008" w:rsidRDefault="00932008"/>
    <w:p w:rsidR="00932008" w:rsidRDefault="00932008"/>
    <w:p w:rsidR="003A6302" w:rsidRDefault="003A6302"/>
    <w:p w:rsidR="003A6302" w:rsidRDefault="003A6302"/>
    <w:p w:rsidR="00EF62ED" w:rsidRDefault="00EF62ED"/>
    <w:p w:rsidR="00EF62ED" w:rsidRDefault="00EF62ED"/>
    <w:p w:rsidR="00965535" w:rsidRDefault="00965535"/>
    <w:p w:rsidR="00965535" w:rsidRDefault="00965535"/>
    <w:p w:rsidR="00965535" w:rsidRDefault="00965535"/>
    <w:p w:rsidR="00EF62ED" w:rsidRDefault="00EF62ED"/>
    <w:p w:rsidR="00E80D54" w:rsidRDefault="00E80D54"/>
    <w:p w:rsidR="00473827" w:rsidRDefault="00473827">
      <w:r w:rsidRPr="002A154B">
        <w:rPr>
          <w:noProof/>
          <w:u w:val="single"/>
        </w:rPr>
        <mc:AlternateContent>
          <mc:Choice Requires="wps">
            <w:drawing>
              <wp:anchor distT="0" distB="0" distL="114300" distR="114300" simplePos="0" relativeHeight="251673600" behindDoc="0" locked="0" layoutInCell="1" allowOverlap="1" wp14:anchorId="26A5ADF7" wp14:editId="3D0FABA1">
                <wp:simplePos x="0" y="0"/>
                <wp:positionH relativeFrom="column">
                  <wp:posOffset>180975</wp:posOffset>
                </wp:positionH>
                <wp:positionV relativeFrom="paragraph">
                  <wp:posOffset>187325</wp:posOffset>
                </wp:positionV>
                <wp:extent cx="6264910" cy="26098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09850"/>
                        </a:xfrm>
                        <a:prstGeom prst="rect">
                          <a:avLst/>
                        </a:prstGeom>
                        <a:solidFill>
                          <a:srgbClr val="FFFFFF"/>
                        </a:solidFill>
                        <a:ln w="9525">
                          <a:solidFill>
                            <a:srgbClr val="000000"/>
                          </a:solidFill>
                          <a:miter lim="800000"/>
                          <a:headEnd/>
                          <a:tailEnd/>
                        </a:ln>
                      </wps:spPr>
                      <wps:txbx>
                        <w:txbxContent>
                          <w:p w:rsidR="00011F76" w:rsidRDefault="00011F76" w:rsidP="002A154B">
                            <w:pPr>
                              <w:rPr>
                                <w:b/>
                                <w:color w:val="00642D"/>
                              </w:rPr>
                            </w:pPr>
                            <w:r>
                              <w:rPr>
                                <w:b/>
                                <w:color w:val="00642D"/>
                              </w:rPr>
                              <w:t>Buenas Prácticas</w:t>
                            </w:r>
                          </w:p>
                          <w:p w:rsidR="00011F76" w:rsidRDefault="00011F76" w:rsidP="002A7A7D">
                            <w:pPr>
                              <w:pStyle w:val="Ttulo1"/>
                              <w:jc w:val="both"/>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Como buena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práctica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por parte del </w:t>
                            </w:r>
                            <w:r w:rsidRPr="00496287">
                              <w:rPr>
                                <w:rFonts w:ascii="Century Gothic" w:eastAsiaTheme="minorEastAsia" w:hAnsi="Century Gothic" w:cstheme="minorBidi"/>
                                <w:b w:val="0"/>
                                <w:bCs w:val="0"/>
                                <w:color w:val="auto"/>
                                <w:sz w:val="22"/>
                                <w:szCs w:val="22"/>
                              </w:rPr>
                              <w:t>Colegio Oficial de Ingeniería Geomática y Topográfica</w:t>
                            </w:r>
                            <w:r w:rsidRPr="003A6302">
                              <w:rPr>
                                <w:rFonts w:ascii="Century Gothic" w:eastAsiaTheme="minorEastAsia" w:hAnsi="Century Gothic" w:cstheme="minorBidi"/>
                                <w:b w:val="0"/>
                                <w:bCs w:val="0"/>
                                <w:color w:val="auto"/>
                                <w:sz w:val="22"/>
                                <w:szCs w:val="22"/>
                              </w:rPr>
                              <w:t xml:space="preserve"> cabe reseñar la</w:t>
                            </w:r>
                            <w:r>
                              <w:rPr>
                                <w:rFonts w:ascii="Century Gothic" w:eastAsiaTheme="minorEastAsia" w:hAnsi="Century Gothic" w:cstheme="minorBidi"/>
                                <w:b w:val="0"/>
                                <w:bCs w:val="0"/>
                                <w:color w:val="auto"/>
                                <w:sz w:val="22"/>
                                <w:szCs w:val="22"/>
                              </w:rPr>
                              <w:t>s siguientes:</w:t>
                            </w:r>
                          </w:p>
                          <w:p w:rsidR="00011F76" w:rsidRDefault="00011F76" w:rsidP="00473827">
                            <w:pPr>
                              <w:pStyle w:val="Ttulo1"/>
                              <w:numPr>
                                <w:ilvl w:val="0"/>
                                <w:numId w:val="20"/>
                              </w:numPr>
                              <w:spacing w:before="120"/>
                              <w:ind w:left="777" w:hanging="357"/>
                              <w:jc w:val="both"/>
                              <w:rPr>
                                <w:rFonts w:ascii="Century Gothic" w:eastAsiaTheme="minorEastAsia" w:hAnsi="Century Gothic" w:cstheme="minorBidi"/>
                                <w:b w:val="0"/>
                                <w:bCs w:val="0"/>
                                <w:color w:val="auto"/>
                                <w:sz w:val="22"/>
                                <w:szCs w:val="22"/>
                              </w:rPr>
                            </w:pPr>
                            <w:r w:rsidRPr="00EF66B2">
                              <w:rPr>
                                <w:rFonts w:ascii="Century Gothic" w:eastAsiaTheme="minorEastAsia" w:hAnsi="Century Gothic" w:cstheme="minorBidi"/>
                                <w:b w:val="0"/>
                                <w:bCs w:val="0"/>
                                <w:color w:val="auto"/>
                                <w:sz w:val="22"/>
                                <w:szCs w:val="22"/>
                              </w:rPr>
                              <w:t>La inclusión de un texto introductorio en el que informa sobre la aplicación de la LTAIBG, y la publicación de esta disposición</w:t>
                            </w:r>
                          </w:p>
                          <w:p w:rsidR="00011F76" w:rsidRPr="00EF66B2" w:rsidRDefault="00011F76" w:rsidP="00473827">
                            <w:pPr>
                              <w:pStyle w:val="Ttulo1"/>
                              <w:numPr>
                                <w:ilvl w:val="0"/>
                                <w:numId w:val="20"/>
                              </w:numPr>
                              <w:spacing w:before="120"/>
                              <w:ind w:left="777" w:hanging="357"/>
                              <w:jc w:val="both"/>
                              <w:rPr>
                                <w:rFonts w:ascii="Century Gothic" w:eastAsiaTheme="minorEastAsia" w:hAnsi="Century Gothic" w:cstheme="minorBidi"/>
                                <w:b w:val="0"/>
                                <w:bCs w:val="0"/>
                                <w:color w:val="auto"/>
                                <w:sz w:val="22"/>
                                <w:szCs w:val="22"/>
                              </w:rPr>
                            </w:pPr>
                            <w:r w:rsidRPr="00EF66B2">
                              <w:rPr>
                                <w:rFonts w:ascii="Century Gothic" w:eastAsiaTheme="minorEastAsia" w:hAnsi="Century Gothic" w:cstheme="minorBidi"/>
                                <w:b w:val="0"/>
                                <w:bCs w:val="0"/>
                                <w:color w:val="auto"/>
                                <w:sz w:val="22"/>
                                <w:szCs w:val="22"/>
                              </w:rPr>
                              <w:t xml:space="preserve">La doble posibilidad de acceso al portal de transparencia (apartados superior e inferior de su página home) </w:t>
                            </w:r>
                          </w:p>
                          <w:p w:rsidR="00011F76" w:rsidRPr="00EF66B2" w:rsidRDefault="00011F76" w:rsidP="00696357">
                            <w:pPr>
                              <w:pStyle w:val="Ttulo1"/>
                              <w:numPr>
                                <w:ilvl w:val="0"/>
                                <w:numId w:val="20"/>
                              </w:numPr>
                              <w:spacing w:before="120"/>
                              <w:ind w:left="777" w:hanging="357"/>
                              <w:jc w:val="both"/>
                              <w:rPr>
                                <w:rFonts w:ascii="Century Gothic" w:eastAsiaTheme="minorEastAsia" w:hAnsi="Century Gothic" w:cstheme="minorBidi"/>
                                <w:b w:val="0"/>
                                <w:bCs w:val="0"/>
                                <w:color w:val="auto"/>
                                <w:sz w:val="22"/>
                                <w:szCs w:val="22"/>
                              </w:rPr>
                            </w:pPr>
                            <w:r w:rsidRPr="00EF66B2">
                              <w:rPr>
                                <w:rFonts w:ascii="Century Gothic" w:eastAsiaTheme="minorEastAsia" w:hAnsi="Century Gothic" w:cstheme="minorBidi"/>
                                <w:b w:val="0"/>
                                <w:bCs w:val="0"/>
                                <w:color w:val="auto"/>
                                <w:sz w:val="22"/>
                                <w:szCs w:val="22"/>
                              </w:rPr>
                              <w:t xml:space="preserve">Habilitar un buscador de cargos de la corporación y en general, la habilitación de buscadores en algunas de las informaciones que ofrece.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4.75pt;width:493.3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gfKwIAAFM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">
                <v:textbox>
                  <w:txbxContent>
                    <w:p w:rsidR="00B963F5" w:rsidRDefault="00B963F5" w:rsidP="002A154B">
                      <w:pPr>
                        <w:rPr>
                          <w:b/>
                          <w:color w:val="00642D"/>
                        </w:rPr>
                      </w:pPr>
                      <w:r>
                        <w:rPr>
                          <w:b/>
                          <w:color w:val="00642D"/>
                        </w:rPr>
                        <w:t>Buenas Prácticas</w:t>
                      </w:r>
                    </w:p>
                    <w:p w:rsidR="00B963F5" w:rsidRDefault="00B963F5" w:rsidP="002A7A7D">
                      <w:pPr>
                        <w:pStyle w:val="Ttulo1"/>
                        <w:jc w:val="both"/>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Como buena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práctica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por parte del </w:t>
                      </w:r>
                      <w:r w:rsidRPr="00496287">
                        <w:rPr>
                          <w:rFonts w:ascii="Century Gothic" w:eastAsiaTheme="minorEastAsia" w:hAnsi="Century Gothic" w:cstheme="minorBidi"/>
                          <w:b w:val="0"/>
                          <w:bCs w:val="0"/>
                          <w:color w:val="auto"/>
                          <w:sz w:val="22"/>
                          <w:szCs w:val="22"/>
                        </w:rPr>
                        <w:t>Colegio Oficial de Ingeniería Geomática y Topográfica</w:t>
                      </w:r>
                      <w:r w:rsidRPr="003A6302">
                        <w:rPr>
                          <w:rFonts w:ascii="Century Gothic" w:eastAsiaTheme="minorEastAsia" w:hAnsi="Century Gothic" w:cstheme="minorBidi"/>
                          <w:b w:val="0"/>
                          <w:bCs w:val="0"/>
                          <w:color w:val="auto"/>
                          <w:sz w:val="22"/>
                          <w:szCs w:val="22"/>
                        </w:rPr>
                        <w:t xml:space="preserve"> cabe reseñar la</w:t>
                      </w:r>
                      <w:r>
                        <w:rPr>
                          <w:rFonts w:ascii="Century Gothic" w:eastAsiaTheme="minorEastAsia" w:hAnsi="Century Gothic" w:cstheme="minorBidi"/>
                          <w:b w:val="0"/>
                          <w:bCs w:val="0"/>
                          <w:color w:val="auto"/>
                          <w:sz w:val="22"/>
                          <w:szCs w:val="22"/>
                        </w:rPr>
                        <w:t>s siguientes:</w:t>
                      </w:r>
                    </w:p>
                    <w:p w:rsidR="00B963F5" w:rsidRDefault="00B963F5" w:rsidP="00473827">
                      <w:pPr>
                        <w:pStyle w:val="Ttulo1"/>
                        <w:numPr>
                          <w:ilvl w:val="0"/>
                          <w:numId w:val="20"/>
                        </w:numPr>
                        <w:spacing w:before="120"/>
                        <w:ind w:left="777" w:hanging="357"/>
                        <w:jc w:val="both"/>
                        <w:rPr>
                          <w:rFonts w:ascii="Century Gothic" w:eastAsiaTheme="minorEastAsia" w:hAnsi="Century Gothic" w:cstheme="minorBidi"/>
                          <w:b w:val="0"/>
                          <w:bCs w:val="0"/>
                          <w:color w:val="auto"/>
                          <w:sz w:val="22"/>
                          <w:szCs w:val="22"/>
                        </w:rPr>
                      </w:pPr>
                      <w:r w:rsidRPr="00EF66B2">
                        <w:rPr>
                          <w:rFonts w:ascii="Century Gothic" w:eastAsiaTheme="minorEastAsia" w:hAnsi="Century Gothic" w:cstheme="minorBidi"/>
                          <w:b w:val="0"/>
                          <w:bCs w:val="0"/>
                          <w:color w:val="auto"/>
                          <w:sz w:val="22"/>
                          <w:szCs w:val="22"/>
                        </w:rPr>
                        <w:t>La inclusión de un texto introductorio en el que informa sobre la aplicación de la LTAIBG, y la publicación de esta disposición</w:t>
                      </w:r>
                    </w:p>
                    <w:p w:rsidR="00B963F5" w:rsidRPr="00EF66B2" w:rsidRDefault="00B963F5" w:rsidP="00473827">
                      <w:pPr>
                        <w:pStyle w:val="Ttulo1"/>
                        <w:numPr>
                          <w:ilvl w:val="0"/>
                          <w:numId w:val="20"/>
                        </w:numPr>
                        <w:spacing w:before="120"/>
                        <w:ind w:left="777" w:hanging="357"/>
                        <w:jc w:val="both"/>
                        <w:rPr>
                          <w:rFonts w:ascii="Century Gothic" w:eastAsiaTheme="minorEastAsia" w:hAnsi="Century Gothic" w:cstheme="minorBidi"/>
                          <w:b w:val="0"/>
                          <w:bCs w:val="0"/>
                          <w:color w:val="auto"/>
                          <w:sz w:val="22"/>
                          <w:szCs w:val="22"/>
                        </w:rPr>
                      </w:pPr>
                      <w:r w:rsidRPr="00EF66B2">
                        <w:rPr>
                          <w:rFonts w:ascii="Century Gothic" w:eastAsiaTheme="minorEastAsia" w:hAnsi="Century Gothic" w:cstheme="minorBidi"/>
                          <w:b w:val="0"/>
                          <w:bCs w:val="0"/>
                          <w:color w:val="auto"/>
                          <w:sz w:val="22"/>
                          <w:szCs w:val="22"/>
                        </w:rPr>
                        <w:t xml:space="preserve">La doble posibilidad de acceso al portal de transparencia (apartados superior e inferior de su página home) </w:t>
                      </w:r>
                    </w:p>
                    <w:p w:rsidR="00B963F5" w:rsidRPr="00EF66B2" w:rsidRDefault="00B963F5" w:rsidP="00696357">
                      <w:pPr>
                        <w:pStyle w:val="Ttulo1"/>
                        <w:numPr>
                          <w:ilvl w:val="0"/>
                          <w:numId w:val="20"/>
                        </w:numPr>
                        <w:spacing w:before="120"/>
                        <w:ind w:left="777" w:hanging="357"/>
                        <w:jc w:val="both"/>
                        <w:rPr>
                          <w:rFonts w:ascii="Century Gothic" w:eastAsiaTheme="minorEastAsia" w:hAnsi="Century Gothic" w:cstheme="minorBidi"/>
                          <w:b w:val="0"/>
                          <w:bCs w:val="0"/>
                          <w:color w:val="auto"/>
                          <w:sz w:val="22"/>
                          <w:szCs w:val="22"/>
                        </w:rPr>
                      </w:pPr>
                      <w:r w:rsidRPr="00EF66B2">
                        <w:rPr>
                          <w:rFonts w:ascii="Century Gothic" w:eastAsiaTheme="minorEastAsia" w:hAnsi="Century Gothic" w:cstheme="minorBidi"/>
                          <w:b w:val="0"/>
                          <w:bCs w:val="0"/>
                          <w:color w:val="auto"/>
                          <w:sz w:val="22"/>
                          <w:szCs w:val="22"/>
                        </w:rPr>
                        <w:t xml:space="preserve">Habilitar un buscador de cargos de la corporación y en general, la habilitación de buscadores en algunas de las informaciones que ofrece. </w:t>
                      </w:r>
                    </w:p>
                  </w:txbxContent>
                </v:textbox>
              </v:shape>
            </w:pict>
          </mc:Fallback>
        </mc:AlternateContent>
      </w:r>
      <w:r>
        <w:br w:type="page"/>
      </w:r>
    </w:p>
    <w:p w:rsidR="00EF62ED" w:rsidRDefault="00EF62E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2A7A7D" w:rsidRPr="00DB5742">
        <w:t>Colegio Oficial de Ingeniería Geomática y Topográf</w:t>
      </w:r>
      <w:r w:rsidR="002A7A7D">
        <w:t>i</w:t>
      </w:r>
      <w:r w:rsidR="002A7A7D" w:rsidRPr="00DB5742">
        <w:t>ca</w:t>
      </w:r>
      <w:r w:rsidR="002A7A7D">
        <w:t xml:space="preserve"> </w:t>
      </w:r>
      <w:r>
        <w:t xml:space="preserve">en función de la información disponible en su </w:t>
      </w:r>
      <w:r w:rsidR="00973389">
        <w:t>página</w:t>
      </w:r>
      <w:r>
        <w:t xml:space="preserve"> alcanza el </w:t>
      </w:r>
      <w:r w:rsidR="00006E1F">
        <w:t>37,9</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2A7A7D" w:rsidRPr="00DB5742">
        <w:t>Colegio Oficial de Ingeniería Geomática y Topográf</w:t>
      </w:r>
      <w:r w:rsidR="002A7A7D">
        <w:t>i</w:t>
      </w:r>
      <w:r w:rsidR="002A7A7D" w:rsidRPr="00DB5742">
        <w:t>ca</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3A6302" w:rsidRDefault="003A6302" w:rsidP="003A6302">
      <w:pPr>
        <w:spacing w:before="120" w:after="120" w:line="312" w:lineRule="auto"/>
        <w:jc w:val="both"/>
      </w:pPr>
      <w:r>
        <w:t xml:space="preserve">El </w:t>
      </w:r>
      <w:r w:rsidR="002A7A7D" w:rsidRPr="00DB5742">
        <w:t>Colegio Oficial de Ingeniería Geomática y Topográf</w:t>
      </w:r>
      <w:r w:rsidR="002A7A7D">
        <w:t>i</w:t>
      </w:r>
      <w:r w:rsidR="002A7A7D" w:rsidRPr="00DB5742">
        <w:t>ca</w:t>
      </w:r>
      <w:r w:rsidR="00D34AC7">
        <w:t xml:space="preserve"> </w:t>
      </w:r>
      <w:r w:rsidR="00817A3A">
        <w:t xml:space="preserve">debe </w:t>
      </w:r>
      <w:r w:rsidR="002A7A7D">
        <w:t xml:space="preserve">finalizar la implementación de su </w:t>
      </w:r>
      <w:r>
        <w:t>Portal de Transp</w:t>
      </w:r>
      <w:r w:rsidRPr="00973389">
        <w:t xml:space="preserve">arencia </w:t>
      </w:r>
      <w:r w:rsidR="00817A3A">
        <w:t>que</w:t>
      </w:r>
      <w:r w:rsidRPr="00973389">
        <w:t xml:space="preserve"> </w:t>
      </w:r>
      <w:r w:rsidR="00EF66B2">
        <w:t xml:space="preserve">se recomienda se </w:t>
      </w:r>
      <w:r w:rsidRPr="00973389">
        <w:t>estructur</w:t>
      </w:r>
      <w:r w:rsidR="00EF66B2">
        <w:t>e</w:t>
      </w:r>
      <w:r w:rsidRPr="00973389">
        <w:t xml:space="preserve"> </w:t>
      </w:r>
      <w:r>
        <w:t xml:space="preserve">conforme al patrón que establece la LTAIBG: Información Institucional, Organizativa y Registro de Actividades de Tratamiento; </w:t>
      </w:r>
      <w:r w:rsidR="00973389">
        <w:t xml:space="preserve"> e </w:t>
      </w:r>
      <w:r>
        <w:t>Información Económica</w:t>
      </w:r>
      <w:r w:rsidR="00B963F5">
        <w:t xml:space="preserve"> y</w:t>
      </w:r>
      <w:r>
        <w:t xml:space="preserve"> Presupuestaria.</w:t>
      </w:r>
    </w:p>
    <w:p w:rsidR="00141E38" w:rsidRDefault="003A6302" w:rsidP="003A6302">
      <w:pPr>
        <w:spacing w:before="120" w:after="120" w:line="312" w:lineRule="auto"/>
        <w:jc w:val="both"/>
      </w:pPr>
      <w:r>
        <w:t>Dentro de cada uno de estos bloques deben publicarse - o enlazarse - las informaciones obligatorias que establecen los artículos 6</w:t>
      </w:r>
      <w:r w:rsidR="00973389">
        <w:t>, 6 bis</w:t>
      </w:r>
      <w:r>
        <w:t xml:space="preserve"> </w:t>
      </w:r>
      <w:r w:rsidR="00973389">
        <w:t>y</w:t>
      </w:r>
      <w:r>
        <w:t xml:space="preserve"> 8 de la LTAIBG. Toda la información sujeta a obligaciones de publicidad activa debe publicarse – o en su caso enlazarse - en el Portal de Transparencia y dentro de éste en el bloque de obligaciones al que se vincule.</w:t>
      </w:r>
      <w:r w:rsidR="00817A3A">
        <w:t xml:space="preserve"> </w:t>
      </w:r>
    </w:p>
    <w:p w:rsidR="003A6302" w:rsidRDefault="003A6302" w:rsidP="003A6302">
      <w:pPr>
        <w:spacing w:before="120" w:after="120" w:line="312" w:lineRule="auto"/>
        <w:jc w:val="both"/>
      </w:pPr>
      <w:r>
        <w:t xml:space="preserve">La publicación de las informaciones dentro de cada uno de los bloques de información debe ajustarse al patrón que establece la LTAIBG. </w:t>
      </w:r>
    </w:p>
    <w:p w:rsidR="003A6302" w:rsidRDefault="003A6302" w:rsidP="003A6302">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3A6302" w:rsidRDefault="003A6302" w:rsidP="003A6302">
      <w:pPr>
        <w:spacing w:before="120" w:after="120" w:line="312" w:lineRule="auto"/>
        <w:jc w:val="both"/>
        <w:rPr>
          <w:rFonts w:eastAsiaTheme="majorEastAsia" w:cstheme="majorBidi"/>
          <w:bCs/>
        </w:rPr>
      </w:pP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D34AC7" w:rsidRDefault="00D34AC7" w:rsidP="00D34AC7">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FC3BA4" w:rsidRDefault="00D34AC7" w:rsidP="00D34AC7">
      <w:pPr>
        <w:pStyle w:val="Prrafodelista"/>
        <w:numPr>
          <w:ilvl w:val="0"/>
          <w:numId w:val="10"/>
        </w:numPr>
        <w:spacing w:before="120" w:after="120" w:line="312" w:lineRule="auto"/>
        <w:jc w:val="both"/>
        <w:rPr>
          <w:lang w:bidi="es-ES"/>
        </w:rPr>
      </w:pPr>
      <w:r>
        <w:rPr>
          <w:lang w:bidi="es-ES"/>
        </w:rPr>
        <w:lastRenderedPageBreak/>
        <w:t xml:space="preserve">Debe informarse sobre toda la estructura organizativa de la Corporación, </w:t>
      </w:r>
      <w:r w:rsidR="00050F5F">
        <w:rPr>
          <w:lang w:bidi="es-ES"/>
        </w:rPr>
        <w:t xml:space="preserve">no </w:t>
      </w:r>
      <w:r>
        <w:rPr>
          <w:lang w:bidi="es-ES"/>
        </w:rPr>
        <w:t>solo de su</w:t>
      </w:r>
      <w:r w:rsidR="00FC3BA4">
        <w:rPr>
          <w:lang w:bidi="es-ES"/>
        </w:rPr>
        <w:t xml:space="preserve"> junta de Gobierno. </w:t>
      </w:r>
    </w:p>
    <w:p w:rsidR="00D34AC7" w:rsidRDefault="00050F5F" w:rsidP="00D34AC7">
      <w:pPr>
        <w:pStyle w:val="Prrafodelista"/>
        <w:numPr>
          <w:ilvl w:val="0"/>
          <w:numId w:val="10"/>
        </w:numPr>
        <w:spacing w:before="120" w:after="120" w:line="312" w:lineRule="auto"/>
        <w:jc w:val="both"/>
        <w:rPr>
          <w:lang w:bidi="es-ES"/>
        </w:rPr>
      </w:pPr>
      <w:r>
        <w:rPr>
          <w:lang w:bidi="es-ES"/>
        </w:rPr>
        <w:t xml:space="preserve">Debe publicarse </w:t>
      </w:r>
      <w:r w:rsidR="00D34AC7">
        <w:rPr>
          <w:lang w:bidi="es-ES"/>
        </w:rPr>
        <w:t xml:space="preserve">un organigrama. </w:t>
      </w:r>
    </w:p>
    <w:p w:rsidR="00817A3A" w:rsidRDefault="00817A3A"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w:t>
      </w:r>
      <w:r w:rsidR="00F84517">
        <w:t>celebrados con la Administración Pública o</w:t>
      </w:r>
      <w:r>
        <w:t xml:space="preserve"> cuyo objeto sea la proyección del ejercicio de sus funciones públicas (incluidos los contratos menores) con indicación del objeto, importe, duración y partes contratantes. También sus modificaciones, desistimientos y renuncias. </w:t>
      </w:r>
    </w:p>
    <w:p w:rsidR="00D732B3" w:rsidRDefault="00D732B3" w:rsidP="00D732B3">
      <w:pPr>
        <w:pStyle w:val="Prrafodelista"/>
        <w:numPr>
          <w:ilvl w:val="0"/>
          <w:numId w:val="12"/>
        </w:numPr>
        <w:spacing w:before="120" w:after="120" w:line="312" w:lineRule="auto"/>
        <w:jc w:val="both"/>
        <w:rPr>
          <w:lang w:bidi="es-ES"/>
        </w:rPr>
      </w:pPr>
      <w:r>
        <w:rPr>
          <w:lang w:bidi="es-ES"/>
        </w:rPr>
        <w:t xml:space="preserve">Debe </w:t>
      </w:r>
      <w:r w:rsidR="00EF66B2">
        <w:rPr>
          <w:lang w:bidi="es-ES"/>
        </w:rPr>
        <w:t>completarse</w:t>
      </w:r>
      <w:r w:rsidR="00FC3BA4">
        <w:rPr>
          <w:lang w:bidi="es-ES"/>
        </w:rPr>
        <w:t>, si así procede,</w:t>
      </w:r>
      <w:r w:rsidR="00EF66B2">
        <w:rPr>
          <w:lang w:bidi="es-ES"/>
        </w:rPr>
        <w:t xml:space="preserve"> la información sobre</w:t>
      </w:r>
      <w:r>
        <w:rPr>
          <w:lang w:bidi="es-ES"/>
        </w:rPr>
        <w:t xml:space="preserve"> los convenios </w:t>
      </w:r>
      <w:r>
        <w:rPr>
          <w:rFonts w:cs="Arial"/>
          <w:bCs/>
          <w:color w:val="000000" w:themeColor="text1"/>
          <w:szCs w:val="22"/>
        </w:rPr>
        <w:t>suscritos en el ejercicio de las funciones públicas</w:t>
      </w:r>
      <w:r w:rsidR="00FC3BA4">
        <w:rPr>
          <w:rFonts w:cs="Arial"/>
          <w:bCs/>
          <w:color w:val="000000" w:themeColor="text1"/>
          <w:szCs w:val="22"/>
        </w:rPr>
        <w:t xml:space="preserve">. </w:t>
      </w:r>
    </w:p>
    <w:p w:rsidR="00973389" w:rsidRDefault="00FC3BA4" w:rsidP="00973389">
      <w:pPr>
        <w:pStyle w:val="Prrafodelista"/>
        <w:numPr>
          <w:ilvl w:val="0"/>
          <w:numId w:val="12"/>
        </w:numPr>
        <w:spacing w:before="120" w:after="120" w:line="312" w:lineRule="auto"/>
        <w:jc w:val="both"/>
        <w:rPr>
          <w:lang w:bidi="es-ES"/>
        </w:rPr>
      </w:pPr>
      <w:r>
        <w:rPr>
          <w:lang w:bidi="es-ES"/>
        </w:rPr>
        <w:t>Debe</w:t>
      </w:r>
      <w:r w:rsidR="00973389">
        <w:rPr>
          <w:lang w:bidi="es-ES"/>
        </w:rPr>
        <w:t xml:space="preserve"> informarse sobre las encomiendas de gestión que se firmen, con indicación de su objeto, presupuesto, duración y obligaciones económicas.</w:t>
      </w:r>
    </w:p>
    <w:p w:rsidR="00973389" w:rsidRDefault="00973389" w:rsidP="00973389">
      <w:pPr>
        <w:numPr>
          <w:ilvl w:val="0"/>
          <w:numId w:val="12"/>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3A6302" w:rsidRDefault="00973389" w:rsidP="00973389">
      <w:pPr>
        <w:spacing w:before="120" w:after="120" w:line="312" w:lineRule="auto"/>
        <w:ind w:left="360"/>
        <w:jc w:val="both"/>
      </w:pPr>
      <w:r w:rsidRPr="00973389">
        <w:rPr>
          <w:rFonts w:eastAsia="Times New Roman" w:cs="Times New Roman"/>
          <w:bCs/>
          <w:szCs w:val="36"/>
        </w:rPr>
        <w:t xml:space="preserve"> </w:t>
      </w:r>
    </w:p>
    <w:p w:rsidR="003A6302" w:rsidRDefault="003A6302" w:rsidP="003A6302">
      <w:pPr>
        <w:spacing w:before="120" w:after="120" w:line="312" w:lineRule="auto"/>
        <w:jc w:val="both"/>
        <w:outlineLvl w:val="1"/>
        <w:rPr>
          <w:b/>
          <w:color w:val="00642D"/>
        </w:rPr>
      </w:pPr>
      <w:r>
        <w:rPr>
          <w:b/>
          <w:color w:val="00642D"/>
        </w:rPr>
        <w:t>Calidad de la Información.</w:t>
      </w:r>
    </w:p>
    <w:p w:rsidR="00141E38" w:rsidRDefault="00141E38" w:rsidP="00141E38">
      <w:pPr>
        <w:pStyle w:val="Prrafodelista"/>
        <w:numPr>
          <w:ilvl w:val="0"/>
          <w:numId w:val="14"/>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141E38" w:rsidRDefault="00141E38" w:rsidP="00141E38">
      <w:pPr>
        <w:pStyle w:val="Prrafodelista"/>
        <w:numPr>
          <w:ilvl w:val="0"/>
          <w:numId w:val="14"/>
        </w:numPr>
        <w:spacing w:before="120" w:after="120" w:line="312" w:lineRule="auto"/>
        <w:jc w:val="both"/>
      </w:pPr>
      <w:r>
        <w:t>Se recomienda que en el caso de que no hubiera información que publicar, se señale expresamente esta circunstancia.</w:t>
      </w:r>
    </w:p>
    <w:p w:rsidR="00FC3BA4" w:rsidRPr="00973389" w:rsidRDefault="00FC3BA4" w:rsidP="00FC3BA4">
      <w:pPr>
        <w:pStyle w:val="Prrafodelista"/>
        <w:numPr>
          <w:ilvl w:val="0"/>
          <w:numId w:val="14"/>
        </w:numPr>
        <w:spacing w:before="120" w:after="120" w:line="312" w:lineRule="auto"/>
        <w:ind w:left="714" w:hanging="357"/>
        <w:jc w:val="both"/>
        <w:rPr>
          <w:color w:val="FF0000"/>
        </w:rPr>
      </w:pPr>
      <w:r>
        <w:t>Toda la información debe datarse e incluirse referencias a la fecha en que se revisó o actualizó por última vez la información. Solo de esta manera sería posible para la ciudadanía saber si la información que está consultando está vigente.</w:t>
      </w:r>
    </w:p>
    <w:p w:rsidR="000A601C" w:rsidRPr="00141E38" w:rsidRDefault="000A601C" w:rsidP="000A601C">
      <w:pPr>
        <w:pStyle w:val="Prrafodelista"/>
        <w:numPr>
          <w:ilvl w:val="0"/>
          <w:numId w:val="14"/>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3A6302" w:rsidRDefault="003A6302" w:rsidP="003A6302"/>
    <w:p w:rsidR="003A6302" w:rsidRDefault="003A6302" w:rsidP="00E874ED">
      <w:pPr>
        <w:jc w:val="right"/>
      </w:pPr>
      <w:r>
        <w:t xml:space="preserve">Madrid, </w:t>
      </w:r>
      <w:r w:rsidR="00973389">
        <w:t>junio</w:t>
      </w:r>
      <w:r>
        <w:t xml:space="preserve"> de 2021 </w:t>
      </w:r>
      <w:r>
        <w:br w:type="page"/>
      </w:r>
    </w:p>
    <w:p w:rsidR="00CA4FB1" w:rsidRDefault="00CA4FB1"/>
    <w:p w:rsidR="00CA4FB1" w:rsidRPr="00CA4FB1" w:rsidRDefault="005D33A3"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default" r:id="rId15"/>
      <w:head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76" w:rsidRDefault="00011F76" w:rsidP="00932008">
      <w:pPr>
        <w:spacing w:after="0" w:line="240" w:lineRule="auto"/>
      </w:pPr>
      <w:r>
        <w:separator/>
      </w:r>
    </w:p>
  </w:endnote>
  <w:endnote w:type="continuationSeparator" w:id="0">
    <w:p w:rsidR="00011F76" w:rsidRDefault="00011F7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8502"/>
      <w:docPartObj>
        <w:docPartGallery w:val="Page Numbers (Bottom of Page)"/>
        <w:docPartUnique/>
      </w:docPartObj>
    </w:sdtPr>
    <w:sdtEndPr>
      <w:rPr>
        <w:sz w:val="18"/>
        <w:szCs w:val="18"/>
      </w:rPr>
    </w:sdtEndPr>
    <w:sdtContent>
      <w:p w:rsidR="00011F76" w:rsidRPr="00141E38" w:rsidRDefault="00011F76">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5D33A3">
          <w:rPr>
            <w:noProof/>
            <w:sz w:val="18"/>
            <w:szCs w:val="18"/>
          </w:rPr>
          <w:t>1</w:t>
        </w:r>
        <w:r w:rsidRPr="00141E38">
          <w:rPr>
            <w:sz w:val="18"/>
            <w:szCs w:val="18"/>
          </w:rPr>
          <w:fldChar w:fldCharType="end"/>
        </w:r>
      </w:p>
    </w:sdtContent>
  </w:sdt>
  <w:p w:rsidR="00011F76" w:rsidRDefault="00011F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76" w:rsidRDefault="00011F76" w:rsidP="00932008">
      <w:pPr>
        <w:spacing w:after="0" w:line="240" w:lineRule="auto"/>
      </w:pPr>
      <w:r>
        <w:separator/>
      </w:r>
    </w:p>
  </w:footnote>
  <w:footnote w:type="continuationSeparator" w:id="0">
    <w:p w:rsidR="00011F76" w:rsidRDefault="00011F7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76" w:rsidRDefault="00011F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76" w:rsidRDefault="00011F7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76" w:rsidRDefault="00011F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3"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9"/>
  </w:num>
  <w:num w:numId="6">
    <w:abstractNumId w:val="16"/>
  </w:num>
  <w:num w:numId="7">
    <w:abstractNumId w:val="15"/>
  </w:num>
  <w:num w:numId="8">
    <w:abstractNumId w:val="5"/>
  </w:num>
  <w:num w:numId="9">
    <w:abstractNumId w:val="0"/>
  </w:num>
  <w:num w:numId="10">
    <w:abstractNumId w:val="14"/>
  </w:num>
  <w:num w:numId="11">
    <w:abstractNumId w:val="6"/>
  </w:num>
  <w:num w:numId="12">
    <w:abstractNumId w:val="2"/>
  </w:num>
  <w:num w:numId="13">
    <w:abstractNumId w:val="4"/>
  </w:num>
  <w:num w:numId="14">
    <w:abstractNumId w:val="13"/>
  </w:num>
  <w:num w:numId="15">
    <w:abstractNumId w:val="12"/>
  </w:num>
  <w:num w:numId="16">
    <w:abstractNumId w:val="0"/>
  </w:num>
  <w:num w:numId="17">
    <w:abstractNumId w:val="2"/>
  </w:num>
  <w:num w:numId="18">
    <w:abstractNumId w:val="8"/>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6E1F"/>
    <w:rsid w:val="00011F76"/>
    <w:rsid w:val="000262A3"/>
    <w:rsid w:val="00050F5F"/>
    <w:rsid w:val="0007446F"/>
    <w:rsid w:val="000965B3"/>
    <w:rsid w:val="000A601C"/>
    <w:rsid w:val="000C6CFF"/>
    <w:rsid w:val="000E785B"/>
    <w:rsid w:val="000F0DDF"/>
    <w:rsid w:val="00102733"/>
    <w:rsid w:val="00106572"/>
    <w:rsid w:val="00137F9A"/>
    <w:rsid w:val="00141E38"/>
    <w:rsid w:val="00147FAC"/>
    <w:rsid w:val="00154A2C"/>
    <w:rsid w:val="001561A4"/>
    <w:rsid w:val="001D3520"/>
    <w:rsid w:val="001D4917"/>
    <w:rsid w:val="001E5084"/>
    <w:rsid w:val="002421DF"/>
    <w:rsid w:val="002A154B"/>
    <w:rsid w:val="002A7A7D"/>
    <w:rsid w:val="002F54A2"/>
    <w:rsid w:val="0035631E"/>
    <w:rsid w:val="003718B9"/>
    <w:rsid w:val="003A3591"/>
    <w:rsid w:val="003A6302"/>
    <w:rsid w:val="003B38AF"/>
    <w:rsid w:val="003C63A1"/>
    <w:rsid w:val="003D1089"/>
    <w:rsid w:val="003E12E2"/>
    <w:rsid w:val="003F271E"/>
    <w:rsid w:val="003F572A"/>
    <w:rsid w:val="004709E0"/>
    <w:rsid w:val="00473827"/>
    <w:rsid w:val="00496287"/>
    <w:rsid w:val="0049763B"/>
    <w:rsid w:val="004A26E7"/>
    <w:rsid w:val="004F2655"/>
    <w:rsid w:val="004F53ED"/>
    <w:rsid w:val="00521DA9"/>
    <w:rsid w:val="005313F4"/>
    <w:rsid w:val="00544E0C"/>
    <w:rsid w:val="00561402"/>
    <w:rsid w:val="0057532F"/>
    <w:rsid w:val="0059693A"/>
    <w:rsid w:val="005B19E4"/>
    <w:rsid w:val="005C0AA8"/>
    <w:rsid w:val="005D33A3"/>
    <w:rsid w:val="005E7497"/>
    <w:rsid w:val="005F29B8"/>
    <w:rsid w:val="00610994"/>
    <w:rsid w:val="00671D67"/>
    <w:rsid w:val="00696357"/>
    <w:rsid w:val="006A2766"/>
    <w:rsid w:val="006E5667"/>
    <w:rsid w:val="00710031"/>
    <w:rsid w:val="00743756"/>
    <w:rsid w:val="00762903"/>
    <w:rsid w:val="007B0F99"/>
    <w:rsid w:val="007C363B"/>
    <w:rsid w:val="0080675C"/>
    <w:rsid w:val="00815239"/>
    <w:rsid w:val="0081737A"/>
    <w:rsid w:val="00817A3A"/>
    <w:rsid w:val="00822B8D"/>
    <w:rsid w:val="00844FA9"/>
    <w:rsid w:val="00856435"/>
    <w:rsid w:val="008C1E1E"/>
    <w:rsid w:val="00907ED6"/>
    <w:rsid w:val="0092723A"/>
    <w:rsid w:val="00932008"/>
    <w:rsid w:val="0095773B"/>
    <w:rsid w:val="009609E9"/>
    <w:rsid w:val="00965535"/>
    <w:rsid w:val="00973389"/>
    <w:rsid w:val="009A48E8"/>
    <w:rsid w:val="00AD2022"/>
    <w:rsid w:val="00B40246"/>
    <w:rsid w:val="00B64559"/>
    <w:rsid w:val="00B8237E"/>
    <w:rsid w:val="00B841AE"/>
    <w:rsid w:val="00B963F5"/>
    <w:rsid w:val="00BB5944"/>
    <w:rsid w:val="00BB6799"/>
    <w:rsid w:val="00BB74A7"/>
    <w:rsid w:val="00BD4582"/>
    <w:rsid w:val="00BD7521"/>
    <w:rsid w:val="00BE6A46"/>
    <w:rsid w:val="00C33A23"/>
    <w:rsid w:val="00C5744D"/>
    <w:rsid w:val="00C65B5B"/>
    <w:rsid w:val="00C73F10"/>
    <w:rsid w:val="00C77304"/>
    <w:rsid w:val="00C77588"/>
    <w:rsid w:val="00CA4FB1"/>
    <w:rsid w:val="00CB5511"/>
    <w:rsid w:val="00CB5F4C"/>
    <w:rsid w:val="00CC02A3"/>
    <w:rsid w:val="00CC2049"/>
    <w:rsid w:val="00D05F02"/>
    <w:rsid w:val="00D1242F"/>
    <w:rsid w:val="00D34AC7"/>
    <w:rsid w:val="00D732B3"/>
    <w:rsid w:val="00D96F84"/>
    <w:rsid w:val="00DE4548"/>
    <w:rsid w:val="00DF2860"/>
    <w:rsid w:val="00DF457E"/>
    <w:rsid w:val="00DF5F2A"/>
    <w:rsid w:val="00DF63E7"/>
    <w:rsid w:val="00E3088D"/>
    <w:rsid w:val="00E34195"/>
    <w:rsid w:val="00E4270D"/>
    <w:rsid w:val="00E46A54"/>
    <w:rsid w:val="00E47613"/>
    <w:rsid w:val="00E80D54"/>
    <w:rsid w:val="00E874ED"/>
    <w:rsid w:val="00E94755"/>
    <w:rsid w:val="00EA626A"/>
    <w:rsid w:val="00EF62ED"/>
    <w:rsid w:val="00EF66B2"/>
    <w:rsid w:val="00F14DA4"/>
    <w:rsid w:val="00F47C3B"/>
    <w:rsid w:val="00F54C6B"/>
    <w:rsid w:val="00F71D7D"/>
    <w:rsid w:val="00F84517"/>
    <w:rsid w:val="00FC3BA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3F85"/>
    <w:rsid w:val="0013771E"/>
    <w:rsid w:val="002542A1"/>
    <w:rsid w:val="00307EB1"/>
    <w:rsid w:val="003D088C"/>
    <w:rsid w:val="003F2A9F"/>
    <w:rsid w:val="004F291A"/>
    <w:rsid w:val="00552B16"/>
    <w:rsid w:val="007607C8"/>
    <w:rsid w:val="00945E4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D2D2911-87C5-4155-8571-128A0471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1907</Words>
  <Characters>10492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2021-10-08T11:24:00Z</dcterms:created>
  <dcterms:modified xsi:type="dcterms:W3CDTF">2021-10-08T11:24:00Z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