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7C011D" w:rsidRPr="00006957" w:rsidRDefault="007C011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7C011D" w:rsidRPr="00006957" w:rsidRDefault="007C011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11D" w:rsidRDefault="007C011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C011D" w:rsidRDefault="007C011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B16C6B" w:rsidRPr="00CB5511" w:rsidTr="002F54A2">
        <w:tc>
          <w:tcPr>
            <w:tcW w:w="3652" w:type="dxa"/>
          </w:tcPr>
          <w:p w:rsidR="00B16C6B" w:rsidRPr="00E34195" w:rsidRDefault="00B16C6B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B16C6B" w:rsidRDefault="00B16C6B">
            <w:r>
              <w:t xml:space="preserve">Colegio Oficial </w:t>
            </w:r>
            <w:r>
              <w:rPr>
                <w:bCs/>
              </w:rPr>
              <w:t>de Ingenieros de Telecomunicación</w:t>
            </w:r>
            <w:r w:rsidR="00A56B91">
              <w:rPr>
                <w:bCs/>
              </w:rPr>
              <w:t xml:space="preserve"> (COIT)</w:t>
            </w:r>
          </w:p>
        </w:tc>
      </w:tr>
      <w:tr w:rsidR="00B16C6B" w:rsidRPr="00CB5511" w:rsidTr="002F54A2">
        <w:tc>
          <w:tcPr>
            <w:tcW w:w="3652" w:type="dxa"/>
          </w:tcPr>
          <w:p w:rsidR="00B16C6B" w:rsidRPr="00E34195" w:rsidRDefault="00B16C6B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B16C6B" w:rsidRDefault="00B16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junio de 2021</w:t>
            </w:r>
          </w:p>
        </w:tc>
      </w:tr>
      <w:tr w:rsidR="00B16C6B" w:rsidRPr="00CB5511" w:rsidTr="002F54A2">
        <w:tc>
          <w:tcPr>
            <w:tcW w:w="3652" w:type="dxa"/>
          </w:tcPr>
          <w:p w:rsidR="00B16C6B" w:rsidRPr="00E34195" w:rsidRDefault="00B16C6B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B16C6B" w:rsidRDefault="00B16C6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https://www.coit.es/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</w:t>
            </w:r>
            <w:bookmarkStart w:id="0" w:name="_GoBack"/>
            <w:bookmarkEnd w:id="0"/>
            <w:r w:rsidRPr="00000DF7"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4336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A56B91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>en el apartado</w:t>
            </w:r>
            <w:r w:rsidR="0059693A">
              <w:rPr>
                <w:sz w:val="20"/>
                <w:szCs w:val="20"/>
              </w:rPr>
              <w:t xml:space="preserve"> </w:t>
            </w:r>
            <w:r w:rsidR="00BB74A7" w:rsidRPr="0059693A">
              <w:rPr>
                <w:sz w:val="20"/>
                <w:szCs w:val="20"/>
              </w:rPr>
              <w:t>“</w:t>
            </w:r>
            <w:r w:rsidR="00A56B91">
              <w:rPr>
                <w:sz w:val="20"/>
                <w:szCs w:val="20"/>
              </w:rPr>
              <w:t xml:space="preserve">El Colegio” </w:t>
            </w:r>
            <w:r w:rsidR="00030E2E">
              <w:rPr>
                <w:sz w:val="20"/>
                <w:szCs w:val="20"/>
              </w:rPr>
              <w:t>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A56B91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A56B91">
              <w:rPr>
                <w:sz w:val="20"/>
                <w:szCs w:val="20"/>
              </w:rPr>
              <w:t xml:space="preserve">“Normativa interna” del apartado </w:t>
            </w:r>
            <w:r>
              <w:rPr>
                <w:sz w:val="20"/>
                <w:szCs w:val="20"/>
              </w:rPr>
              <w:t>“</w:t>
            </w:r>
            <w:r w:rsidR="00A56B91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Colegio”. Se prop</w:t>
            </w:r>
            <w:r w:rsidR="00FD5415">
              <w:rPr>
                <w:sz w:val="20"/>
                <w:szCs w:val="20"/>
              </w:rPr>
              <w:t>orciona</w:t>
            </w:r>
            <w:r>
              <w:rPr>
                <w:sz w:val="20"/>
                <w:szCs w:val="20"/>
              </w:rPr>
              <w:t xml:space="preserve"> </w:t>
            </w:r>
            <w:r w:rsidR="00A56B91">
              <w:rPr>
                <w:sz w:val="20"/>
                <w:szCs w:val="20"/>
              </w:rPr>
              <w:t>un documento en pdf fechado en 2015 junto a una nota informativa del mismo año; además, se menciona una reforma estatutaria en trámite de 2018</w:t>
            </w:r>
            <w:r w:rsidR="00FD5415">
              <w:rPr>
                <w:sz w:val="20"/>
                <w:szCs w:val="20"/>
              </w:rPr>
              <w:t>. La información c</w:t>
            </w:r>
            <w:r w:rsidR="0035631E"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="0059693A" w:rsidRPr="00030E2E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A56B91" w:rsidP="00030E2E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 w:rsidRPr="00FD5415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56B91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56B91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A56B91" w:rsidP="007C011D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La información se localiza en </w:t>
            </w:r>
            <w:r w:rsidR="007C011D">
              <w:rPr>
                <w:sz w:val="20"/>
                <w:szCs w:val="20"/>
              </w:rPr>
              <w:t xml:space="preserve">el acceso “Ventanilla única”  del apartado “El Colegio”, al que también se puede acceder dese el </w:t>
            </w:r>
            <w:r w:rsidR="008D30FF">
              <w:rPr>
                <w:sz w:val="20"/>
                <w:szCs w:val="20"/>
              </w:rPr>
              <w:t>apartado “Aviso</w:t>
            </w:r>
            <w:r w:rsidR="007C011D">
              <w:rPr>
                <w:sz w:val="20"/>
                <w:szCs w:val="20"/>
              </w:rPr>
              <w:t xml:space="preserve"> legal- Información general” a pie de página.  La información c</w:t>
            </w:r>
            <w:r w:rsidR="007C011D"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="007C011D"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A56B9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A56B91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A56B91" w:rsidP="00A56B91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“Órganos de gobierno” del apartado “El Colegio”. La información está fechada en 2018. Pero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56B91" w:rsidP="00A56B9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“Órganos de gobierno” del apartado “El Colegio”. La información está fechada, pero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30E2E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030E2E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56B91" w:rsidP="00030E2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“Órganos de gobierno” del apartado “El Colegio”. La información está fechada, pero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FD5415" w:rsidRDefault="00FD5415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A56B91" w:rsidRPr="0092723A" w:rsidRDefault="00A56B91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1D" w:rsidRDefault="007C011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C011D" w:rsidRDefault="007C011D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7C011D" w:rsidRDefault="007C011D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la Ley de Colegios Profesionales </w:t>
                            </w:r>
                          </w:p>
                          <w:p w:rsidR="007C011D" w:rsidRDefault="007C011D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sus funciones</w:t>
                            </w:r>
                          </w:p>
                          <w:p w:rsidR="007C011D" w:rsidRDefault="007C011D" w:rsidP="00050F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toda la estructura organizativa de la Corporación, solo de sus órganos de gobierno</w:t>
                            </w:r>
                          </w:p>
                          <w:p w:rsidR="007C011D" w:rsidRDefault="007C011D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7C011D" w:rsidRDefault="007C011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C011D" w:rsidRPr="00141E38" w:rsidRDefault="007C011D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La información publicada carece de</w:t>
                            </w:r>
                            <w:r>
                              <w:t xml:space="preserve"> referencias a la fecha en la que se realizó la última revisión o actualización.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C011D" w:rsidRDefault="007C011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C011D" w:rsidRDefault="007C011D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7C011D" w:rsidRDefault="007C011D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la Ley de Colegios Profesionales </w:t>
                      </w:r>
                    </w:p>
                    <w:p w:rsidR="007C011D" w:rsidRDefault="007C011D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sus funciones</w:t>
                      </w:r>
                    </w:p>
                    <w:p w:rsidR="007C011D" w:rsidRDefault="007C011D" w:rsidP="00050F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toda la estructura organizativa de la Corporación, solo de sus órganos de gobierno</w:t>
                      </w:r>
                    </w:p>
                    <w:p w:rsidR="007C011D" w:rsidRDefault="007C011D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7C011D" w:rsidRDefault="007C011D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C011D" w:rsidRPr="00141E38" w:rsidRDefault="007C011D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>La información publicada carece de</w:t>
                      </w:r>
                      <w:r>
                        <w:t xml:space="preserve"> referencias a la fecha en la que se realizó la última revisión o actualización.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 w:rsidR="00D34AC7"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DE61A8" w:rsidP="007C011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 xml:space="preserve">No se ha localizado </w:t>
            </w:r>
            <w:r>
              <w:t xml:space="preserve">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856435" w:rsidRDefault="00856435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1D" w:rsidRPr="00F54C6B" w:rsidRDefault="007C011D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7C011D" w:rsidRDefault="007C011D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C011D" w:rsidRPr="00F54C6B" w:rsidRDefault="007C011D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7C011D" w:rsidRDefault="007C011D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856435" w:rsidRDefault="00856435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52F72" w:rsidRPr="00FD0689" w:rsidTr="00F5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52F72" w:rsidRPr="00FD0689" w:rsidRDefault="00F52F72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64,3</w:t>
            </w:r>
          </w:p>
        </w:tc>
      </w:tr>
      <w:tr w:rsidR="00F52F72" w:rsidRPr="00FD0689" w:rsidTr="00F52F7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52F72" w:rsidRPr="00FD0689" w:rsidRDefault="00F52F72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2F72">
              <w:rPr>
                <w:sz w:val="18"/>
                <w:szCs w:val="18"/>
              </w:rPr>
              <w:t>0,0</w:t>
            </w:r>
          </w:p>
        </w:tc>
      </w:tr>
      <w:tr w:rsidR="00F52F72" w:rsidRPr="00A94BCA" w:rsidTr="00F5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52F72" w:rsidRPr="002A154B" w:rsidRDefault="00F52F7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F52F72" w:rsidRPr="00F52F72" w:rsidRDefault="00F52F72" w:rsidP="00F52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52F72">
              <w:rPr>
                <w:b/>
                <w:i/>
                <w:sz w:val="18"/>
                <w:szCs w:val="18"/>
              </w:rPr>
              <w:t>30,0</w:t>
            </w:r>
          </w:p>
        </w:tc>
      </w:tr>
    </w:tbl>
    <w:p w:rsidR="00F52F72" w:rsidRDefault="00F52F72" w:rsidP="00F52F72">
      <w:pPr>
        <w:jc w:val="both"/>
      </w:pPr>
    </w:p>
    <w:p w:rsidR="00F52F72" w:rsidRDefault="00F52F72" w:rsidP="00F52F72">
      <w:pPr>
        <w:jc w:val="both"/>
      </w:pPr>
      <w:r>
        <w:t>El Índice de Cumplimiento de la Información Obligatoria (ICIO) se sitúa en el 30%. La falta de publicación de contenidos obligatorios – solo se publica el 26,7% de las informaciones obligatorias – y la falta de referencias a la última fecha en que se revisó o actualizó la información, explican el nivel de cumplimiento alcanzado.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1D" w:rsidRDefault="007C011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C011D" w:rsidRPr="00DF0F2C" w:rsidRDefault="007C011D" w:rsidP="00DF0F2C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E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t xml:space="preserve">Colegio Oficial </w:t>
                            </w:r>
                            <w:r>
                              <w:rPr>
                                <w:bCs/>
                              </w:rPr>
                              <w:t>de Ingenieros de Telecomunicación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 incorpora en su web información adicional a la exigida por la LTAIBG que pueda ser considerada relevante desde el punto de vista de la Transparencia.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DF0F2C">
                              <w:rPr>
                                <w:sz w:val="20"/>
                                <w:szCs w:val="20"/>
                              </w:rPr>
      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      </w:r>
                          </w:p>
                          <w:p w:rsidR="007C011D" w:rsidRDefault="007C011D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sz w:val="20"/>
                                <w:szCs w:val="20"/>
                              </w:rPr>
                              <w:t xml:space="preserve"> Reglamento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General de Régimen Interno del COIT y Reglamento de Sociedades profesionales COIT</w:t>
                            </w:r>
                          </w:p>
                          <w:p w:rsidR="008D30FF" w:rsidRPr="00DF0F2C" w:rsidRDefault="008D30FF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Deontológico</w:t>
                            </w:r>
                          </w:p>
                          <w:p w:rsidR="007C011D" w:rsidRPr="00DF0F2C" w:rsidRDefault="007C011D" w:rsidP="00DF0F2C">
                            <w:pPr>
                              <w:pStyle w:val="Cuerpodelboletn"/>
                              <w:numPr>
                                <w:ilvl w:val="0"/>
                                <w:numId w:val="19"/>
                              </w:numPr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Memoria anual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7C011D" w:rsidRDefault="007C011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C011D" w:rsidRPr="00DF0F2C" w:rsidRDefault="007C011D" w:rsidP="00DF0F2C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t>E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l </w:t>
                      </w:r>
                      <w:r>
                        <w:t xml:space="preserve">Colegio Oficial </w:t>
                      </w:r>
                      <w:r>
                        <w:rPr>
                          <w:bCs/>
                        </w:rPr>
                        <w:t>de Ingenieros de Telecomunicación</w:t>
                      </w:r>
                      <w:r w:rsidRPr="00DF0F2C">
                        <w:rPr>
                          <w:sz w:val="20"/>
                          <w:szCs w:val="20"/>
                        </w:rPr>
                        <w:t xml:space="preserve"> incorpora en su web información adicional a la exigida por la LTAIBG que pueda ser considerada relevante desde el punto de vista de la Transparencia.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DF0F2C">
                        <w:rPr>
                          <w:sz w:val="20"/>
                          <w:szCs w:val="20"/>
                        </w:rPr>
                        <w:t>nformación que en ocasiones deriva de la necesidad de cumplir con obligaciones de publicidad activa recogidas en otras disposiciones (como la Ley de Colegios Profesionales o sus propios Estatutos). Así, publica la siguiente información:</w:t>
                      </w:r>
                    </w:p>
                    <w:p w:rsidR="007C011D" w:rsidRDefault="007C011D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DF0F2C">
                        <w:rPr>
                          <w:sz w:val="20"/>
                          <w:szCs w:val="20"/>
                        </w:rPr>
                        <w:t xml:space="preserve"> Reglamento </w:t>
                      </w:r>
                      <w:r>
                        <w:rPr>
                          <w:sz w:val="20"/>
                          <w:szCs w:val="20"/>
                        </w:rPr>
                        <w:t>General de Régimen Interno del COIT y Reglamento de Sociedades profesionales COIT</w:t>
                      </w:r>
                    </w:p>
                    <w:p w:rsidR="008D30FF" w:rsidRPr="00DF0F2C" w:rsidRDefault="008D30FF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Deontológico</w:t>
                      </w:r>
                    </w:p>
                    <w:p w:rsidR="007C011D" w:rsidRPr="00DF0F2C" w:rsidRDefault="007C011D" w:rsidP="00DF0F2C">
                      <w:pPr>
                        <w:pStyle w:val="Cuerpodelboletn"/>
                        <w:numPr>
                          <w:ilvl w:val="0"/>
                          <w:numId w:val="19"/>
                        </w:numPr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Memoria anual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3A6302" w:rsidRDefault="003A6302"/>
    <w:p w:rsidR="003A6302" w:rsidRDefault="003A6302"/>
    <w:p w:rsidR="00EF62ED" w:rsidRDefault="00EF62ED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177800</wp:posOffset>
                </wp:positionH>
                <wp:positionV relativeFrom="paragraph">
                  <wp:posOffset>35560</wp:posOffset>
                </wp:positionV>
                <wp:extent cx="6264910" cy="1115695"/>
                <wp:effectExtent l="0" t="0" r="21590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1D" w:rsidRDefault="007C011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C011D" w:rsidRPr="00DF0F2C" w:rsidRDefault="007C011D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</w:t>
                            </w:r>
                            <w:r w:rsidRPr="007C011D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Colegio Oficial de Ingenieros de Telecomunicación</w:t>
                            </w: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7C011D" w:rsidRPr="002A154B" w:rsidRDefault="007C011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pt;margin-top:2.8pt;width:493.3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">
                <v:textbox>
                  <w:txbxContent>
                    <w:p w:rsidR="007C011D" w:rsidRDefault="007C011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C011D" w:rsidRPr="00DF0F2C" w:rsidRDefault="007C011D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</w:t>
                      </w:r>
                      <w:r w:rsidRPr="007C011D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Colegio Oficial de Ingenieros de Telecomunicación</w:t>
                      </w: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7C011D" w:rsidRPr="002A154B" w:rsidRDefault="007C011D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F52F72" w:rsidRDefault="00F52F7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7C011D">
        <w:t xml:space="preserve">Colegio Oficial </w:t>
      </w:r>
      <w:r w:rsidR="007C011D">
        <w:rPr>
          <w:bCs/>
        </w:rPr>
        <w:t>de Ingenieros de Telecomunicación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F52F72">
        <w:t>30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7C011D">
        <w:t xml:space="preserve">Colegio Oficial </w:t>
      </w:r>
      <w:r w:rsidR="007C011D">
        <w:rPr>
          <w:bCs/>
        </w:rPr>
        <w:t>de Ingenieros de Telecomunicación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7C011D">
        <w:t xml:space="preserve">Colegio Oficial </w:t>
      </w:r>
      <w:r w:rsidR="007C011D">
        <w:rPr>
          <w:bCs/>
        </w:rPr>
        <w:t xml:space="preserve">de Ingenieros de Telecomunicación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3B5512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lastRenderedPageBreak/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la Ley de Colegios Profesionales </w:t>
      </w:r>
    </w:p>
    <w:p w:rsidR="00D34AC7" w:rsidRDefault="00D34AC7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</w:t>
      </w:r>
      <w:r w:rsidR="007C011D">
        <w:rPr>
          <w:rFonts w:ascii="Century Gothic" w:hAnsi="Century Gothic"/>
          <w:lang w:bidi="es-ES"/>
        </w:rPr>
        <w:t>informarse sobre sus funciones sin necesidad de acudir a la normativa que le resulta de  aplicación</w:t>
      </w:r>
      <w:r w:rsidR="008D30FF">
        <w:rPr>
          <w:rFonts w:ascii="Century Gothic" w:hAnsi="Century Gothic"/>
          <w:lang w:bidi="es-ES"/>
        </w:rPr>
        <w:t>.</w:t>
      </w:r>
      <w:r>
        <w:rPr>
          <w:rFonts w:ascii="Century Gothic" w:hAnsi="Century Gothic"/>
        </w:rPr>
        <w:t xml:space="preserve"> </w:t>
      </w:r>
    </w:p>
    <w:p w:rsidR="007C011D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sobre </w:t>
      </w:r>
      <w:r w:rsidR="007C011D">
        <w:rPr>
          <w:lang w:bidi="es-ES"/>
        </w:rPr>
        <w:t xml:space="preserve">toda </w:t>
      </w:r>
      <w:r>
        <w:rPr>
          <w:lang w:bidi="es-ES"/>
        </w:rPr>
        <w:t xml:space="preserve">la estructura organizativa de la Corporación, </w:t>
      </w:r>
      <w:r w:rsidR="00050F5F">
        <w:rPr>
          <w:lang w:bidi="es-ES"/>
        </w:rPr>
        <w:t xml:space="preserve">no </w:t>
      </w:r>
      <w:r>
        <w:rPr>
          <w:lang w:bidi="es-ES"/>
        </w:rPr>
        <w:t>solo de su</w:t>
      </w:r>
      <w:r w:rsidR="007C011D">
        <w:rPr>
          <w:lang w:bidi="es-ES"/>
        </w:rPr>
        <w:t>s órganos de gobierno</w:t>
      </w:r>
      <w:r w:rsidR="008D30FF">
        <w:rPr>
          <w:lang w:bidi="es-ES"/>
        </w:rPr>
        <w:t>.</w:t>
      </w:r>
      <w:r w:rsidR="007C011D">
        <w:rPr>
          <w:lang w:bidi="es-ES"/>
        </w:rPr>
        <w:t xml:space="preserve"> </w:t>
      </w:r>
    </w:p>
    <w:p w:rsidR="00D34AC7" w:rsidRDefault="00050F5F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="00D34AC7">
        <w:rPr>
          <w:lang w:bidi="es-ES"/>
        </w:rPr>
        <w:t xml:space="preserve">un organigrama. </w:t>
      </w:r>
    </w:p>
    <w:p w:rsidR="00817A3A" w:rsidRDefault="00817A3A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>,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7D5365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DE61A8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7C011D" w:rsidRDefault="007C011D" w:rsidP="007C011D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DE61A8" w:rsidRPr="00973389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recomienda que en el caso de que no hubiera información que publicar, se señale expresamente esta circunstancia</w:t>
      </w:r>
    </w:p>
    <w:p w:rsidR="00973389" w:rsidRPr="00141E38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Se recuerda que la información debe publicarse en formatos reutilizables según lo dispuesto por la Ley 17/2007, de reutilización de la información del sector público</w:t>
      </w:r>
      <w:r w:rsidR="00141E38">
        <w:t>.</w:t>
      </w:r>
      <w:r>
        <w:t xml:space="preserve"> </w:t>
      </w: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Pr="00CA4FB1" w:rsidRDefault="0024336D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1D" w:rsidRDefault="007C011D" w:rsidP="00932008">
      <w:pPr>
        <w:spacing w:after="0" w:line="240" w:lineRule="auto"/>
      </w:pPr>
      <w:r>
        <w:separator/>
      </w:r>
    </w:p>
  </w:endnote>
  <w:endnote w:type="continuationSeparator" w:id="0">
    <w:p w:rsidR="007C011D" w:rsidRDefault="007C011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C011D" w:rsidRPr="00141E38" w:rsidRDefault="007C011D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24336D">
          <w:rPr>
            <w:noProof/>
            <w:sz w:val="18"/>
            <w:szCs w:val="18"/>
          </w:rPr>
          <w:t>1</w:t>
        </w:r>
        <w:r w:rsidRPr="00141E38">
          <w:rPr>
            <w:sz w:val="18"/>
            <w:szCs w:val="18"/>
          </w:rPr>
          <w:fldChar w:fldCharType="end"/>
        </w:r>
      </w:p>
    </w:sdtContent>
  </w:sdt>
  <w:p w:rsidR="007C011D" w:rsidRDefault="007C01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1D" w:rsidRDefault="007C011D" w:rsidP="00932008">
      <w:pPr>
        <w:spacing w:after="0" w:line="240" w:lineRule="auto"/>
      </w:pPr>
      <w:r>
        <w:separator/>
      </w:r>
    </w:p>
  </w:footnote>
  <w:footnote w:type="continuationSeparator" w:id="0">
    <w:p w:rsidR="007C011D" w:rsidRDefault="007C011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1D" w:rsidRDefault="007C01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1D" w:rsidRDefault="007C01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1D" w:rsidRDefault="007C01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785B"/>
    <w:rsid w:val="00102733"/>
    <w:rsid w:val="00137F9A"/>
    <w:rsid w:val="00141E38"/>
    <w:rsid w:val="00147FAC"/>
    <w:rsid w:val="00154A2C"/>
    <w:rsid w:val="001561A4"/>
    <w:rsid w:val="001D3520"/>
    <w:rsid w:val="001D4917"/>
    <w:rsid w:val="001E5084"/>
    <w:rsid w:val="002421DF"/>
    <w:rsid w:val="0024336D"/>
    <w:rsid w:val="002A154B"/>
    <w:rsid w:val="002F54A2"/>
    <w:rsid w:val="0035631E"/>
    <w:rsid w:val="003718B9"/>
    <w:rsid w:val="003A3591"/>
    <w:rsid w:val="003A6302"/>
    <w:rsid w:val="003B38AF"/>
    <w:rsid w:val="003B5512"/>
    <w:rsid w:val="003C63A1"/>
    <w:rsid w:val="003D1089"/>
    <w:rsid w:val="003E12E2"/>
    <w:rsid w:val="003F271E"/>
    <w:rsid w:val="003F572A"/>
    <w:rsid w:val="004709E0"/>
    <w:rsid w:val="0049763B"/>
    <w:rsid w:val="004F2655"/>
    <w:rsid w:val="004F53ED"/>
    <w:rsid w:val="00521DA9"/>
    <w:rsid w:val="005313F4"/>
    <w:rsid w:val="00544E0C"/>
    <w:rsid w:val="00561402"/>
    <w:rsid w:val="0057532F"/>
    <w:rsid w:val="0059693A"/>
    <w:rsid w:val="005B19E4"/>
    <w:rsid w:val="005C0AA8"/>
    <w:rsid w:val="005E7497"/>
    <w:rsid w:val="005F29B8"/>
    <w:rsid w:val="00610994"/>
    <w:rsid w:val="00621CB8"/>
    <w:rsid w:val="00632A82"/>
    <w:rsid w:val="00671D67"/>
    <w:rsid w:val="006A2766"/>
    <w:rsid w:val="006E5667"/>
    <w:rsid w:val="00710031"/>
    <w:rsid w:val="00743756"/>
    <w:rsid w:val="00762903"/>
    <w:rsid w:val="007B0F99"/>
    <w:rsid w:val="007C011D"/>
    <w:rsid w:val="007C363B"/>
    <w:rsid w:val="007D5365"/>
    <w:rsid w:val="0080675C"/>
    <w:rsid w:val="00815239"/>
    <w:rsid w:val="0081737A"/>
    <w:rsid w:val="00817A3A"/>
    <w:rsid w:val="00820997"/>
    <w:rsid w:val="00822B8D"/>
    <w:rsid w:val="00844FA9"/>
    <w:rsid w:val="00856435"/>
    <w:rsid w:val="008C1E1E"/>
    <w:rsid w:val="008D30FF"/>
    <w:rsid w:val="0090673F"/>
    <w:rsid w:val="0092723A"/>
    <w:rsid w:val="00932008"/>
    <w:rsid w:val="0095773B"/>
    <w:rsid w:val="009609E9"/>
    <w:rsid w:val="00973389"/>
    <w:rsid w:val="009A48E8"/>
    <w:rsid w:val="00A56B91"/>
    <w:rsid w:val="00AD2022"/>
    <w:rsid w:val="00B16C6B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732B3"/>
    <w:rsid w:val="00D96F84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F62ED"/>
    <w:rsid w:val="00F14DA4"/>
    <w:rsid w:val="00F47C3B"/>
    <w:rsid w:val="00F52F72"/>
    <w:rsid w:val="00F54C6B"/>
    <w:rsid w:val="00F71D7D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565862"/>
    <w:rsid w:val="007607C8"/>
    <w:rsid w:val="00945E48"/>
    <w:rsid w:val="00AB39A5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0774D-2491-4EEF-AF89-2168DFD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2029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2021-10-19T09:01:00Z</dcterms:created>
  <dcterms:modified xsi:type="dcterms:W3CDTF">2021-10-19T09:01:00Z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