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 w:rsidP="00D02AF3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E0225F" w:rsidRDefault="00E0225F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E0225F" w:rsidRPr="00006957" w:rsidRDefault="00E0225F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E0225F" w:rsidRDefault="00E0225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E0225F" w:rsidRPr="00006957" w:rsidRDefault="00E0225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225F" w:rsidRDefault="00E0225F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E0225F" w:rsidRDefault="00E0225F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3C4C27" w:rsidP="00924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Consejo General de la Abogacía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3C239E" w:rsidP="003C2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40559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6</w:t>
            </w:r>
            <w:r w:rsidR="00340559">
              <w:rPr>
                <w:sz w:val="24"/>
                <w:szCs w:val="24"/>
              </w:rPr>
              <w:t>/2021</w:t>
            </w:r>
          </w:p>
        </w:tc>
      </w:tr>
    </w:tbl>
    <w:p w:rsidR="00BA266E" w:rsidRDefault="00BA266E"/>
    <w:p w:rsidR="00561402" w:rsidRPr="0012783F" w:rsidRDefault="00F20B78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3C239E" w:rsidRDefault="003C239E" w:rsidP="003C239E">
      <w:pPr>
        <w:ind w:left="284"/>
        <w:jc w:val="both"/>
      </w:pPr>
      <w:r>
        <w:rPr>
          <w:bCs/>
        </w:rPr>
        <w:t>Según informa el CGAE, la gestión de las solicitudes de acceso a información pública, se gestionan por los Servicios Jurídicos del Consejo, que</w:t>
      </w:r>
      <w:r>
        <w:t xml:space="preserve"> cuentan con dos personas de las cuales ninguna se dedica en exclusiva a esta actividad.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F20B78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B49DC" w:rsidRDefault="0026637D" w:rsidP="00D02AF3">
      <w:pPr>
        <w:pStyle w:val="Cuerpodelboletn"/>
        <w:spacing w:before="120" w:after="120" w:line="312" w:lineRule="auto"/>
        <w:ind w:left="426"/>
        <w:rPr>
          <w:bCs/>
          <w:color w:val="auto"/>
          <w:szCs w:val="22"/>
        </w:rPr>
      </w:pPr>
      <w:r>
        <w:rPr>
          <w:bCs/>
          <w:color w:val="auto"/>
          <w:szCs w:val="22"/>
        </w:rPr>
        <w:t xml:space="preserve">En 2020 el CGAE recibió dos solicitudes de información, que fueron admitidas. En ambos casos la resolución concedió el acceso a la información solicitada de manera parcial. 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C25AF5">
        <w:rPr>
          <w:rStyle w:val="Ttulo2Car"/>
          <w:b w:val="0"/>
          <w:color w:val="auto"/>
          <w:sz w:val="22"/>
          <w:szCs w:val="22"/>
          <w:lang w:bidi="es-ES"/>
        </w:rPr>
        <w:t>No se ha localizado en la web de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>l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>CGAE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la LTAIBG, tal y como establece el artículo 14.3 de la norma, que obliga a la publicación de estas resoluciones previa disociación de los datos de carácter personal. </w:t>
      </w:r>
    </w:p>
    <w:p w:rsidR="00BA266E" w:rsidRDefault="00BA266E" w:rsidP="00B812AB"/>
    <w:p w:rsidR="00B812AB" w:rsidRPr="00E34195" w:rsidRDefault="00F20B78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6B49DC" w:rsidRDefault="0026637D" w:rsidP="0026637D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El CGAE</w:t>
      </w:r>
      <w:r w:rsidR="00F33EF2" w:rsidRPr="00F33EF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</w:t>
      </w:r>
      <w:r w:rsidR="000C2C5E">
        <w:rPr>
          <w:rStyle w:val="Ttulo2Car"/>
          <w:b w:val="0"/>
          <w:color w:val="auto"/>
          <w:sz w:val="22"/>
          <w:szCs w:val="22"/>
          <w:lang w:bidi="es-ES"/>
        </w:rPr>
        <w:t>espacio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específico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 xml:space="preserve">en su </w:t>
      </w:r>
      <w:r>
        <w:rPr>
          <w:rStyle w:val="Ttulo2Car"/>
          <w:b w:val="0"/>
          <w:color w:val="auto"/>
          <w:sz w:val="22"/>
          <w:szCs w:val="22"/>
          <w:lang w:bidi="es-ES"/>
        </w:rPr>
        <w:t>portal de transparencia, “</w:t>
      </w:r>
      <w:r w:rsidRPr="0026637D">
        <w:rPr>
          <w:rStyle w:val="Ttulo2Car"/>
          <w:b w:val="0"/>
          <w:color w:val="auto"/>
          <w:sz w:val="22"/>
          <w:szCs w:val="22"/>
          <w:lang w:bidi="es-ES"/>
        </w:rPr>
        <w:t>Acceso a la información y relación con la ciudadanía”</w:t>
      </w:r>
      <w:r>
        <w:rPr>
          <w:rStyle w:val="Ttulo2Car"/>
          <w:b w:val="0"/>
          <w:color w:val="auto"/>
          <w:sz w:val="22"/>
          <w:szCs w:val="22"/>
          <w:lang w:bidi="es-ES"/>
        </w:rPr>
        <w:t>, en el que se publica un formulario web para presentar solicitudes de información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  <w:r w:rsidR="000C2C5E">
        <w:rPr>
          <w:rStyle w:val="Ttulo2Car"/>
          <w:b w:val="0"/>
          <w:color w:val="auto"/>
          <w:sz w:val="22"/>
          <w:szCs w:val="22"/>
          <w:lang w:bidi="es-ES"/>
        </w:rPr>
        <w:t xml:space="preserve">En este espacio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no se informa sobre el derecho que </w:t>
      </w:r>
      <w:r>
        <w:rPr>
          <w:rStyle w:val="Ttulo2Car"/>
          <w:b w:val="0"/>
          <w:color w:val="auto"/>
          <w:sz w:val="22"/>
          <w:szCs w:val="22"/>
          <w:lang w:bidi="es-ES"/>
        </w:rPr>
        <w:lastRenderedPageBreak/>
        <w:t xml:space="preserve">asiste a los ciudadanos a solicitar información pública al amparo de la LTAIBG, ni se publica información adicional relativa al procedimiento y sobre otros medios diferentes del formulario web señalado. </w:t>
      </w:r>
    </w:p>
    <w:p w:rsidR="0026637D" w:rsidRDefault="0026637D" w:rsidP="0026637D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No existen requisitos para la presentación de las solicitudes, simplemente </w:t>
      </w:r>
      <w:r w:rsidR="007E3B8C">
        <w:rPr>
          <w:rStyle w:val="Ttulo2Car"/>
          <w:b w:val="0"/>
          <w:color w:val="auto"/>
          <w:sz w:val="22"/>
          <w:szCs w:val="22"/>
          <w:lang w:bidi="es-ES"/>
        </w:rPr>
        <w:t>es preciso proporcionar un correo electrónico para recibir la respuesta a la solicitud efectuada.</w:t>
      </w:r>
    </w:p>
    <w:p w:rsidR="00B40246" w:rsidRPr="00E34195" w:rsidRDefault="00F20B78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Pr="0053251E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53251E">
        <w:rPr>
          <w:color w:val="auto"/>
          <w:lang w:bidi="es-ES"/>
        </w:rPr>
        <w:t xml:space="preserve">Con fecha </w:t>
      </w:r>
      <w:r w:rsidR="0053251E">
        <w:rPr>
          <w:color w:val="auto"/>
          <w:lang w:bidi="es-ES"/>
        </w:rPr>
        <w:t>02</w:t>
      </w:r>
      <w:r w:rsidR="000B2A81" w:rsidRPr="0053251E">
        <w:rPr>
          <w:color w:val="auto"/>
          <w:lang w:bidi="es-ES"/>
        </w:rPr>
        <w:t>/0</w:t>
      </w:r>
      <w:r w:rsidR="0053251E">
        <w:rPr>
          <w:color w:val="auto"/>
          <w:lang w:bidi="es-ES"/>
        </w:rPr>
        <w:t>7</w:t>
      </w:r>
      <w:r w:rsidR="000B2A81" w:rsidRPr="0053251E">
        <w:rPr>
          <w:color w:val="auto"/>
          <w:lang w:bidi="es-ES"/>
        </w:rPr>
        <w:t>/</w:t>
      </w:r>
      <w:r w:rsidRPr="0053251E">
        <w:rPr>
          <w:color w:val="auto"/>
          <w:lang w:bidi="es-ES"/>
        </w:rPr>
        <w:t xml:space="preserve">2021 se presentó </w:t>
      </w:r>
      <w:r w:rsidR="00904E47" w:rsidRPr="0053251E">
        <w:rPr>
          <w:color w:val="auto"/>
          <w:lang w:bidi="es-ES"/>
        </w:rPr>
        <w:t>a través</w:t>
      </w:r>
      <w:r w:rsidR="00D02AF3" w:rsidRPr="0053251E">
        <w:rPr>
          <w:color w:val="auto"/>
          <w:lang w:bidi="es-ES"/>
        </w:rPr>
        <w:t xml:space="preserve"> del </w:t>
      </w:r>
      <w:r w:rsidR="0053251E">
        <w:rPr>
          <w:color w:val="auto"/>
          <w:lang w:bidi="es-ES"/>
        </w:rPr>
        <w:t xml:space="preserve">formulario web </w:t>
      </w:r>
      <w:r w:rsidR="00354DD8" w:rsidRPr="0053251E">
        <w:rPr>
          <w:color w:val="auto"/>
          <w:lang w:bidi="es-ES"/>
        </w:rPr>
        <w:t>habilitado</w:t>
      </w:r>
      <w:r w:rsidR="001268D0" w:rsidRPr="0053251E">
        <w:rPr>
          <w:color w:val="auto"/>
          <w:lang w:bidi="es-ES"/>
        </w:rPr>
        <w:t xml:space="preserve"> para la presentación de solicitudes – </w:t>
      </w:r>
      <w:hyperlink r:id="rId12" w:history="1">
        <w:hyperlink r:id="rId13" w:history="1">
          <w:r w:rsidR="0053251E" w:rsidRPr="0053251E">
            <w:rPr>
              <w:rFonts w:eastAsia="Times New Roman" w:cs="Calibri"/>
              <w:color w:val="0000FF"/>
              <w:szCs w:val="22"/>
              <w:u w:val="single"/>
            </w:rPr>
            <w:t>https://www.abogacia.es/site/portal-de-transparencia/acceso-a-la-informacion-y-relacion-con-la-ciudadania/</w:t>
          </w:r>
        </w:hyperlink>
        <w:r w:rsidR="00D02AF3" w:rsidRPr="0053251E">
          <w:rPr>
            <w:rStyle w:val="Hipervnculo"/>
            <w:szCs w:val="22"/>
            <w:lang w:bidi="es-ES"/>
          </w:rPr>
          <w:t xml:space="preserve"> -</w:t>
        </w:r>
      </w:hyperlink>
      <w:r w:rsidR="00D02AF3" w:rsidRPr="0053251E">
        <w:rPr>
          <w:color w:val="auto"/>
          <w:lang w:bidi="es-ES"/>
        </w:rPr>
        <w:t xml:space="preserve"> </w:t>
      </w:r>
      <w:r w:rsidR="00255A7E" w:rsidRPr="0053251E">
        <w:rPr>
          <w:color w:val="auto"/>
          <w:lang w:bidi="es-ES"/>
        </w:rPr>
        <w:t>una solicitud de acceso a información pública</w:t>
      </w:r>
      <w:r w:rsidR="000C2C5E" w:rsidRPr="0053251E">
        <w:rPr>
          <w:color w:val="auto"/>
          <w:lang w:bidi="es-ES"/>
        </w:rPr>
        <w:t>. No</w:t>
      </w:r>
      <w:r w:rsidR="000B2A81" w:rsidRPr="0053251E">
        <w:rPr>
          <w:color w:val="auto"/>
          <w:lang w:bidi="es-ES"/>
        </w:rPr>
        <w:t xml:space="preserve"> se emite un acuse de recibo</w:t>
      </w:r>
      <w:r w:rsidR="00AC715D" w:rsidRPr="0053251E">
        <w:rPr>
          <w:color w:val="auto"/>
          <w:lang w:bidi="es-ES"/>
        </w:rPr>
        <w:t xml:space="preserve">. </w:t>
      </w:r>
    </w:p>
    <w:p w:rsidR="001E1C29" w:rsidRPr="0053251E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Pr="0053251E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53251E">
        <w:rPr>
          <w:rStyle w:val="Ttulo2Car"/>
          <w:sz w:val="22"/>
          <w:szCs w:val="22"/>
        </w:rPr>
        <w:t>Tramitación</w:t>
      </w:r>
    </w:p>
    <w:p w:rsidR="00AB4742" w:rsidRPr="0053251E" w:rsidRDefault="000C2C5E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53251E">
        <w:rPr>
          <w:color w:val="auto"/>
          <w:lang w:bidi="es-ES"/>
        </w:rPr>
        <w:t>No</w:t>
      </w:r>
      <w:r w:rsidR="00B108F0" w:rsidRPr="0053251E">
        <w:rPr>
          <w:color w:val="auto"/>
          <w:lang w:bidi="es-ES"/>
        </w:rPr>
        <w:t xml:space="preserve"> se</w:t>
      </w:r>
      <w:r w:rsidR="00F34803" w:rsidRPr="0053251E">
        <w:rPr>
          <w:color w:val="auto"/>
          <w:lang w:bidi="es-ES"/>
        </w:rPr>
        <w:t xml:space="preserve"> </w:t>
      </w:r>
      <w:r w:rsidR="00904E47" w:rsidRPr="0053251E">
        <w:rPr>
          <w:color w:val="auto"/>
          <w:lang w:bidi="es-ES"/>
        </w:rPr>
        <w:t xml:space="preserve">comunica el </w:t>
      </w:r>
      <w:r w:rsidR="00F34803" w:rsidRPr="0053251E">
        <w:rPr>
          <w:color w:val="auto"/>
          <w:lang w:bidi="es-ES"/>
        </w:rPr>
        <w:t xml:space="preserve">inicio de la tramitación de la solicitud. </w:t>
      </w:r>
    </w:p>
    <w:p w:rsidR="00AB4742" w:rsidRPr="0053251E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F34803" w:rsidRPr="0053251E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53251E">
        <w:rPr>
          <w:rStyle w:val="Ttulo2Car"/>
          <w:sz w:val="22"/>
          <w:szCs w:val="22"/>
        </w:rPr>
        <w:t>Resolución</w:t>
      </w:r>
    </w:p>
    <w:p w:rsidR="001E1C29" w:rsidRDefault="006E496D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53251E">
        <w:rPr>
          <w:color w:val="auto"/>
          <w:lang w:bidi="es-ES"/>
        </w:rPr>
        <w:t xml:space="preserve">No consta que se haya emitido </w:t>
      </w:r>
      <w:r w:rsidR="00F20B78">
        <w:rPr>
          <w:color w:val="auto"/>
          <w:lang w:bidi="es-ES"/>
        </w:rPr>
        <w:t>contestación</w:t>
      </w:r>
      <w:bookmarkStart w:id="0" w:name="_GoBack"/>
      <w:bookmarkEnd w:id="0"/>
      <w:r w:rsidRPr="0053251E">
        <w:rPr>
          <w:color w:val="auto"/>
          <w:lang w:bidi="es-ES"/>
        </w:rPr>
        <w:t xml:space="preserve"> a la solicitud. Por tanto, hay que entender que ésta ha sido denegada por silencio administrativo al haber transcurrido el plazo de un mes sin obtener respuesta.</w:t>
      </w:r>
    </w:p>
    <w:p w:rsidR="001268D0" w:rsidRDefault="001268D0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6E496D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7E3B8C" w:rsidRPr="007E3B8C" w:rsidRDefault="007E3B8C" w:rsidP="007E3B8C">
      <w:pPr>
        <w:spacing w:before="120" w:after="120"/>
        <w:ind w:left="425"/>
        <w:jc w:val="both"/>
        <w:rPr>
          <w:color w:val="000000"/>
          <w:szCs w:val="24"/>
        </w:rPr>
      </w:pPr>
      <w:r w:rsidRPr="007E3B8C">
        <w:rPr>
          <w:szCs w:val="24"/>
        </w:rPr>
        <w:t xml:space="preserve">El CTBG ha recibido un total de </w:t>
      </w:r>
      <w:r>
        <w:rPr>
          <w:szCs w:val="24"/>
        </w:rPr>
        <w:t>11</w:t>
      </w:r>
      <w:r w:rsidRPr="007E3B8C">
        <w:rPr>
          <w:szCs w:val="24"/>
        </w:rPr>
        <w:t xml:space="preserve"> reclamaciones contra resoluciones de</w:t>
      </w:r>
      <w:r>
        <w:rPr>
          <w:szCs w:val="24"/>
        </w:rPr>
        <w:t>l CGAE</w:t>
      </w:r>
      <w:r w:rsidRPr="007E3B8C">
        <w:rPr>
          <w:szCs w:val="24"/>
        </w:rPr>
        <w:t xml:space="preserve"> en materia de acceso a la información pública. De ellas, </w:t>
      </w:r>
      <w:r>
        <w:rPr>
          <w:szCs w:val="24"/>
        </w:rPr>
        <w:t>3</w:t>
      </w:r>
      <w:r w:rsidRPr="007E3B8C">
        <w:rPr>
          <w:szCs w:val="24"/>
        </w:rPr>
        <w:t xml:space="preserve"> fueron</w:t>
      </w:r>
      <w:r w:rsidRPr="007E3B8C">
        <w:rPr>
          <w:color w:val="000000"/>
          <w:szCs w:val="24"/>
        </w:rPr>
        <w:t xml:space="preserve"> estimadas – en </w:t>
      </w:r>
      <w:r>
        <w:rPr>
          <w:color w:val="000000"/>
          <w:szCs w:val="24"/>
        </w:rPr>
        <w:t>dos casos</w:t>
      </w:r>
      <w:r w:rsidRPr="007E3B8C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el CGAE</w:t>
      </w:r>
      <w:r w:rsidRPr="007E3B8C">
        <w:rPr>
          <w:color w:val="000000"/>
          <w:szCs w:val="24"/>
        </w:rPr>
        <w:t xml:space="preserve"> entregó la información antes de finalizar el procedimiento de reclamación -, </w:t>
      </w:r>
      <w:r>
        <w:rPr>
          <w:color w:val="000000"/>
          <w:szCs w:val="24"/>
        </w:rPr>
        <w:t>5</w:t>
      </w:r>
      <w:r w:rsidRPr="007E3B8C">
        <w:rPr>
          <w:color w:val="000000"/>
          <w:szCs w:val="24"/>
        </w:rPr>
        <w:t xml:space="preserve"> reclamaciones fueron desestimadas y </w:t>
      </w:r>
      <w:r>
        <w:rPr>
          <w:color w:val="000000"/>
          <w:szCs w:val="24"/>
        </w:rPr>
        <w:t>3</w:t>
      </w:r>
      <w:r w:rsidRPr="007E3B8C">
        <w:rPr>
          <w:color w:val="000000"/>
          <w:szCs w:val="24"/>
        </w:rPr>
        <w:t xml:space="preserve"> inadmitidas. </w:t>
      </w:r>
    </w:p>
    <w:p w:rsidR="007E3B8C" w:rsidRPr="007E3B8C" w:rsidRDefault="007E3B8C" w:rsidP="007E3B8C">
      <w:pPr>
        <w:spacing w:before="120" w:after="120"/>
        <w:ind w:left="425"/>
        <w:jc w:val="both"/>
        <w:rPr>
          <w:szCs w:val="24"/>
        </w:rPr>
      </w:pPr>
      <w:r w:rsidRPr="007E3B8C">
        <w:rPr>
          <w:szCs w:val="24"/>
        </w:rPr>
        <w:t xml:space="preserve">Por lo tanto, de las </w:t>
      </w:r>
      <w:r>
        <w:rPr>
          <w:szCs w:val="24"/>
        </w:rPr>
        <w:t>8</w:t>
      </w:r>
      <w:r w:rsidRPr="007E3B8C">
        <w:rPr>
          <w:szCs w:val="24"/>
        </w:rPr>
        <w:t xml:space="preserve"> reclamaciones admitidas a trámite, un </w:t>
      </w:r>
      <w:r w:rsidR="00E0225F">
        <w:rPr>
          <w:szCs w:val="24"/>
        </w:rPr>
        <w:t>37,5</w:t>
      </w:r>
      <w:r w:rsidRPr="007E3B8C">
        <w:rPr>
          <w:szCs w:val="24"/>
        </w:rPr>
        <w:t xml:space="preserve">% fue favorable a los reclamantes y un </w:t>
      </w:r>
      <w:r w:rsidR="00E0225F">
        <w:rPr>
          <w:szCs w:val="24"/>
        </w:rPr>
        <w:t>62,5</w:t>
      </w:r>
      <w:r w:rsidRPr="007E3B8C">
        <w:rPr>
          <w:szCs w:val="24"/>
        </w:rPr>
        <w:t>% al organismo.</w:t>
      </w:r>
    </w:p>
    <w:p w:rsidR="007E3B8C" w:rsidRDefault="00E0225F" w:rsidP="007E3B8C">
      <w:pPr>
        <w:spacing w:before="120" w:after="120"/>
        <w:ind w:left="425"/>
        <w:jc w:val="both"/>
        <w:rPr>
          <w:szCs w:val="24"/>
        </w:rPr>
      </w:pPr>
      <w:r>
        <w:rPr>
          <w:szCs w:val="24"/>
        </w:rPr>
        <w:t xml:space="preserve">Ninguna de </w:t>
      </w:r>
      <w:r w:rsidR="007E3B8C" w:rsidRPr="007E3B8C">
        <w:rPr>
          <w:szCs w:val="24"/>
        </w:rPr>
        <w:t xml:space="preserve"> las resoluciones estimatorias del CTBG  fue recurrida ante la jurisdicción contencioso-administrativa.</w:t>
      </w:r>
    </w:p>
    <w:p w:rsidR="00E0225F" w:rsidRDefault="00E0225F" w:rsidP="007E3B8C">
      <w:pPr>
        <w:spacing w:before="120" w:after="120"/>
        <w:ind w:left="425"/>
        <w:jc w:val="both"/>
        <w:rPr>
          <w:szCs w:val="24"/>
        </w:rPr>
      </w:pPr>
    </w:p>
    <w:p w:rsidR="00E0225F" w:rsidRDefault="00E0225F" w:rsidP="007E3B8C">
      <w:pPr>
        <w:spacing w:before="120" w:after="120"/>
        <w:ind w:left="425"/>
        <w:jc w:val="both"/>
        <w:rPr>
          <w:szCs w:val="24"/>
        </w:rPr>
      </w:pPr>
    </w:p>
    <w:p w:rsidR="00E0225F" w:rsidRPr="007E3B8C" w:rsidRDefault="00E0225F" w:rsidP="007E3B8C">
      <w:pPr>
        <w:spacing w:before="120" w:after="120"/>
        <w:ind w:left="425"/>
        <w:jc w:val="both"/>
        <w:rPr>
          <w:szCs w:val="24"/>
        </w:rPr>
      </w:pPr>
    </w:p>
    <w:p w:rsidR="007E3B8C" w:rsidRPr="007E3B8C" w:rsidRDefault="007E3B8C" w:rsidP="007E3B8C">
      <w:pPr>
        <w:spacing w:before="120" w:after="120"/>
        <w:ind w:left="425"/>
        <w:jc w:val="both"/>
        <w:rPr>
          <w:szCs w:val="24"/>
        </w:rPr>
      </w:pPr>
    </w:p>
    <w:p w:rsidR="007E3B8C" w:rsidRPr="007E3B8C" w:rsidRDefault="007E3B8C" w:rsidP="007E3B8C">
      <w:pPr>
        <w:keepNext/>
        <w:spacing w:line="240" w:lineRule="auto"/>
        <w:ind w:left="426"/>
        <w:jc w:val="both"/>
        <w:rPr>
          <w:rFonts w:eastAsiaTheme="majorEastAsia" w:cstheme="majorBidi"/>
          <w:b/>
          <w:color w:val="00642D"/>
          <w:lang w:bidi="es-ES"/>
        </w:rPr>
      </w:pPr>
      <w:r w:rsidRPr="007E3B8C">
        <w:rPr>
          <w:rFonts w:eastAsiaTheme="majorEastAsia" w:cstheme="majorBidi"/>
          <w:b/>
          <w:color w:val="00642D"/>
          <w:lang w:bidi="es-ES"/>
        </w:rPr>
        <w:lastRenderedPageBreak/>
        <w:t xml:space="preserve">Tabla </w:t>
      </w:r>
      <w:r w:rsidRPr="007E3B8C">
        <w:rPr>
          <w:rFonts w:eastAsiaTheme="majorEastAsia" w:cstheme="majorBidi"/>
          <w:b/>
          <w:color w:val="00642D"/>
          <w:lang w:bidi="es-ES"/>
        </w:rPr>
        <w:fldChar w:fldCharType="begin"/>
      </w:r>
      <w:r w:rsidRPr="007E3B8C">
        <w:rPr>
          <w:rFonts w:eastAsiaTheme="majorEastAsia" w:cstheme="majorBidi"/>
          <w:b/>
          <w:color w:val="00642D"/>
          <w:lang w:bidi="es-ES"/>
        </w:rPr>
        <w:instrText xml:space="preserve"> SEQ Tabla \* ARABIC </w:instrText>
      </w:r>
      <w:r w:rsidRPr="007E3B8C">
        <w:rPr>
          <w:rFonts w:eastAsiaTheme="majorEastAsia" w:cstheme="majorBidi"/>
          <w:b/>
          <w:color w:val="00642D"/>
          <w:lang w:bidi="es-ES"/>
        </w:rPr>
        <w:fldChar w:fldCharType="separate"/>
      </w:r>
      <w:r w:rsidRPr="007E3B8C">
        <w:rPr>
          <w:rFonts w:eastAsiaTheme="majorEastAsia" w:cstheme="majorBidi"/>
          <w:b/>
          <w:color w:val="00642D"/>
          <w:lang w:bidi="es-ES"/>
        </w:rPr>
        <w:t>3</w:t>
      </w:r>
      <w:r w:rsidRPr="007E3B8C">
        <w:rPr>
          <w:rFonts w:eastAsiaTheme="majorEastAsia" w:cstheme="majorBidi"/>
          <w:b/>
          <w:color w:val="00642D"/>
          <w:lang w:bidi="es-ES"/>
        </w:rPr>
        <w:fldChar w:fldCharType="end"/>
      </w:r>
      <w:r w:rsidRPr="007E3B8C">
        <w:rPr>
          <w:rFonts w:eastAsiaTheme="majorEastAsia" w:cstheme="majorBidi"/>
          <w:b/>
          <w:color w:val="00642D"/>
          <w:lang w:bidi="es-ES"/>
        </w:rPr>
        <w:t>: Reclamaciones ante el Consejo de Transparencia y Buen Gobierno</w:t>
      </w:r>
    </w:p>
    <w:tbl>
      <w:tblPr>
        <w:tblStyle w:val="Tablaconcuadrcula21"/>
        <w:tblW w:w="0" w:type="auto"/>
        <w:tblInd w:w="959" w:type="dxa"/>
        <w:tblLook w:val="04A0" w:firstRow="1" w:lastRow="0" w:firstColumn="1" w:lastColumn="0" w:noHBand="0" w:noVBand="1"/>
      </w:tblPr>
      <w:tblGrid>
        <w:gridCol w:w="1299"/>
        <w:gridCol w:w="4479"/>
        <w:gridCol w:w="1843"/>
        <w:gridCol w:w="1559"/>
      </w:tblGrid>
      <w:tr w:rsidR="007E3B8C" w:rsidRPr="007E3B8C" w:rsidTr="007E3B8C">
        <w:tc>
          <w:tcPr>
            <w:tcW w:w="1299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7E3B8C" w:rsidRPr="007E3B8C" w:rsidRDefault="007E3B8C" w:rsidP="007E3B8C">
            <w:pPr>
              <w:spacing w:after="200" w:line="276" w:lineRule="auto"/>
              <w:ind w:left="113" w:right="113"/>
              <w:jc w:val="both"/>
              <w:rPr>
                <w:color w:val="FFFFFF" w:themeColor="background1"/>
              </w:rPr>
            </w:pPr>
          </w:p>
        </w:tc>
        <w:tc>
          <w:tcPr>
            <w:tcW w:w="6322" w:type="dxa"/>
            <w:gridSpan w:val="2"/>
            <w:tcBorders>
              <w:left w:val="nil"/>
            </w:tcBorders>
          </w:tcPr>
          <w:p w:rsidR="007E3B8C" w:rsidRPr="007E3B8C" w:rsidRDefault="007E3B8C" w:rsidP="007E3B8C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7E3B8C">
              <w:rPr>
                <w:sz w:val="20"/>
                <w:szCs w:val="20"/>
              </w:rPr>
              <w:t>Nº de Resoluciones de la entidad recurridas ante el CTBG</w:t>
            </w:r>
          </w:p>
        </w:tc>
        <w:tc>
          <w:tcPr>
            <w:tcW w:w="1559" w:type="dxa"/>
            <w:vAlign w:val="center"/>
          </w:tcPr>
          <w:p w:rsidR="007E3B8C" w:rsidRPr="007E3B8C" w:rsidRDefault="00E0225F" w:rsidP="00E0225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7E3B8C" w:rsidRPr="007E3B8C" w:rsidTr="007E3B8C">
        <w:trPr>
          <w:trHeight w:val="248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7E3B8C" w:rsidRPr="007E3B8C" w:rsidRDefault="007E3B8C" w:rsidP="007E3B8C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 w:val="restart"/>
            <w:tcBorders>
              <w:left w:val="nil"/>
            </w:tcBorders>
          </w:tcPr>
          <w:p w:rsidR="007E3B8C" w:rsidRPr="007E3B8C" w:rsidRDefault="007E3B8C" w:rsidP="007E3B8C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7E3B8C">
              <w:rPr>
                <w:sz w:val="20"/>
                <w:szCs w:val="20"/>
              </w:rPr>
              <w:t>Nº de Resoluciones del CTBG favorables a la entidad</w:t>
            </w:r>
          </w:p>
        </w:tc>
        <w:tc>
          <w:tcPr>
            <w:tcW w:w="1843" w:type="dxa"/>
            <w:tcBorders>
              <w:left w:val="nil"/>
            </w:tcBorders>
          </w:tcPr>
          <w:p w:rsidR="007E3B8C" w:rsidRPr="007E3B8C" w:rsidRDefault="007E3B8C" w:rsidP="007E3B8C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7E3B8C">
              <w:rPr>
                <w:sz w:val="20"/>
                <w:szCs w:val="20"/>
              </w:rPr>
              <w:t>Nº</w:t>
            </w:r>
          </w:p>
        </w:tc>
        <w:tc>
          <w:tcPr>
            <w:tcW w:w="1559" w:type="dxa"/>
            <w:vAlign w:val="center"/>
          </w:tcPr>
          <w:p w:rsidR="007E3B8C" w:rsidRPr="007E3B8C" w:rsidRDefault="00E0225F" w:rsidP="00E0225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E3B8C" w:rsidRPr="007E3B8C" w:rsidTr="007E3B8C">
        <w:trPr>
          <w:trHeight w:val="247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7E3B8C" w:rsidRPr="007E3B8C" w:rsidRDefault="007E3B8C" w:rsidP="007E3B8C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/>
            <w:tcBorders>
              <w:left w:val="nil"/>
            </w:tcBorders>
          </w:tcPr>
          <w:p w:rsidR="007E3B8C" w:rsidRPr="007E3B8C" w:rsidRDefault="007E3B8C" w:rsidP="007E3B8C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7E3B8C" w:rsidRPr="007E3B8C" w:rsidRDefault="007E3B8C" w:rsidP="007E3B8C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7E3B8C">
              <w:rPr>
                <w:sz w:val="20"/>
                <w:szCs w:val="20"/>
              </w:rPr>
              <w:t>Porcentaje</w:t>
            </w:r>
          </w:p>
        </w:tc>
        <w:tc>
          <w:tcPr>
            <w:tcW w:w="1559" w:type="dxa"/>
            <w:vAlign w:val="center"/>
          </w:tcPr>
          <w:p w:rsidR="007E3B8C" w:rsidRPr="007E3B8C" w:rsidRDefault="00E0225F" w:rsidP="00E0225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</w:tr>
      <w:tr w:rsidR="007E3B8C" w:rsidRPr="007E3B8C" w:rsidTr="007E3B8C">
        <w:trPr>
          <w:trHeight w:val="248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7E3B8C" w:rsidRPr="007E3B8C" w:rsidRDefault="007E3B8C" w:rsidP="007E3B8C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 w:val="restart"/>
            <w:tcBorders>
              <w:left w:val="nil"/>
            </w:tcBorders>
          </w:tcPr>
          <w:p w:rsidR="007E3B8C" w:rsidRPr="007E3B8C" w:rsidRDefault="007E3B8C" w:rsidP="007E3B8C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7E3B8C">
              <w:rPr>
                <w:sz w:val="20"/>
                <w:szCs w:val="20"/>
              </w:rPr>
              <w:t>Nº de Resoluciones del CTBG favorables a los reclamantes</w:t>
            </w:r>
          </w:p>
        </w:tc>
        <w:tc>
          <w:tcPr>
            <w:tcW w:w="1843" w:type="dxa"/>
            <w:tcBorders>
              <w:left w:val="nil"/>
            </w:tcBorders>
          </w:tcPr>
          <w:p w:rsidR="007E3B8C" w:rsidRPr="007E3B8C" w:rsidRDefault="007E3B8C" w:rsidP="007E3B8C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7E3B8C">
              <w:rPr>
                <w:sz w:val="20"/>
                <w:szCs w:val="20"/>
              </w:rPr>
              <w:t>Nº</w:t>
            </w:r>
          </w:p>
        </w:tc>
        <w:tc>
          <w:tcPr>
            <w:tcW w:w="1559" w:type="dxa"/>
            <w:vAlign w:val="center"/>
          </w:tcPr>
          <w:p w:rsidR="007E3B8C" w:rsidRPr="007E3B8C" w:rsidRDefault="00E0225F" w:rsidP="00E0225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E3B8C" w:rsidRPr="007E3B8C" w:rsidTr="007E3B8C">
        <w:trPr>
          <w:trHeight w:val="247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7E3B8C" w:rsidRPr="007E3B8C" w:rsidRDefault="007E3B8C" w:rsidP="007E3B8C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/>
            <w:tcBorders>
              <w:left w:val="nil"/>
            </w:tcBorders>
          </w:tcPr>
          <w:p w:rsidR="007E3B8C" w:rsidRPr="007E3B8C" w:rsidRDefault="007E3B8C" w:rsidP="007E3B8C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7E3B8C" w:rsidRPr="007E3B8C" w:rsidRDefault="007E3B8C" w:rsidP="007E3B8C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7E3B8C">
              <w:rPr>
                <w:sz w:val="20"/>
                <w:szCs w:val="20"/>
              </w:rPr>
              <w:t>Porcentaje</w:t>
            </w:r>
          </w:p>
        </w:tc>
        <w:tc>
          <w:tcPr>
            <w:tcW w:w="1559" w:type="dxa"/>
            <w:vAlign w:val="center"/>
          </w:tcPr>
          <w:p w:rsidR="007E3B8C" w:rsidRPr="007E3B8C" w:rsidRDefault="00E0225F" w:rsidP="00E0225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</w:tr>
      <w:tr w:rsidR="007E3B8C" w:rsidRPr="007E3B8C" w:rsidTr="007E3B8C"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7E3B8C" w:rsidRPr="007E3B8C" w:rsidRDefault="007E3B8C" w:rsidP="007E3B8C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6322" w:type="dxa"/>
            <w:gridSpan w:val="2"/>
            <w:tcBorders>
              <w:left w:val="nil"/>
            </w:tcBorders>
          </w:tcPr>
          <w:p w:rsidR="007E3B8C" w:rsidRPr="007E3B8C" w:rsidRDefault="007E3B8C" w:rsidP="007E3B8C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7E3B8C">
              <w:rPr>
                <w:sz w:val="20"/>
                <w:szCs w:val="20"/>
              </w:rPr>
              <w:t>Nº de Resoluciones del CTBG favorables a los reclamantes recurridas ante la jurisdicción contencioso-administrativa</w:t>
            </w:r>
          </w:p>
        </w:tc>
        <w:tc>
          <w:tcPr>
            <w:tcW w:w="1559" w:type="dxa"/>
            <w:vAlign w:val="center"/>
          </w:tcPr>
          <w:p w:rsidR="007E3B8C" w:rsidRPr="007E3B8C" w:rsidRDefault="00E0225F" w:rsidP="00E0225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E3B8C" w:rsidRPr="007E3B8C" w:rsidTr="007E3B8C"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7E3B8C" w:rsidRPr="007E3B8C" w:rsidRDefault="007E3B8C" w:rsidP="007E3B8C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6322" w:type="dxa"/>
            <w:gridSpan w:val="2"/>
            <w:tcBorders>
              <w:left w:val="nil"/>
            </w:tcBorders>
          </w:tcPr>
          <w:p w:rsidR="007E3B8C" w:rsidRPr="007E3B8C" w:rsidRDefault="007E3B8C" w:rsidP="007E3B8C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7E3B8C">
              <w:rPr>
                <w:sz w:val="20"/>
                <w:szCs w:val="20"/>
              </w:rPr>
              <w:t>Tasa de litigiosidad</w:t>
            </w:r>
          </w:p>
        </w:tc>
        <w:tc>
          <w:tcPr>
            <w:tcW w:w="1559" w:type="dxa"/>
            <w:vAlign w:val="center"/>
          </w:tcPr>
          <w:p w:rsidR="007E3B8C" w:rsidRPr="007E3B8C" w:rsidRDefault="007E3B8C" w:rsidP="00E0225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E3B8C" w:rsidRPr="007E3B8C" w:rsidTr="007E3B8C"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7E3B8C" w:rsidRPr="007E3B8C" w:rsidRDefault="007E3B8C" w:rsidP="007E3B8C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 w:val="restart"/>
            <w:tcBorders>
              <w:left w:val="nil"/>
            </w:tcBorders>
            <w:vAlign w:val="center"/>
          </w:tcPr>
          <w:p w:rsidR="007E3B8C" w:rsidRPr="007E3B8C" w:rsidRDefault="007E3B8C" w:rsidP="007E3B8C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7E3B8C">
              <w:rPr>
                <w:sz w:val="20"/>
                <w:szCs w:val="20"/>
              </w:rPr>
              <w:t>Sentencias firmes favorables al CTBG</w:t>
            </w:r>
          </w:p>
        </w:tc>
        <w:tc>
          <w:tcPr>
            <w:tcW w:w="1843" w:type="dxa"/>
            <w:tcBorders>
              <w:left w:val="nil"/>
            </w:tcBorders>
          </w:tcPr>
          <w:p w:rsidR="007E3B8C" w:rsidRPr="007E3B8C" w:rsidRDefault="007E3B8C" w:rsidP="007E3B8C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7E3B8C">
              <w:rPr>
                <w:sz w:val="20"/>
                <w:szCs w:val="20"/>
              </w:rPr>
              <w:t xml:space="preserve">Nº </w:t>
            </w:r>
          </w:p>
        </w:tc>
        <w:tc>
          <w:tcPr>
            <w:tcW w:w="1559" w:type="dxa"/>
            <w:vAlign w:val="center"/>
          </w:tcPr>
          <w:p w:rsidR="007E3B8C" w:rsidRPr="007E3B8C" w:rsidRDefault="007E3B8C" w:rsidP="00E0225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E3B8C" w:rsidRPr="007E3B8C" w:rsidTr="007E3B8C">
        <w:trPr>
          <w:trHeight w:val="113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7E3B8C" w:rsidRPr="007E3B8C" w:rsidRDefault="007E3B8C" w:rsidP="007E3B8C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/>
            <w:tcBorders>
              <w:left w:val="nil"/>
            </w:tcBorders>
            <w:vAlign w:val="center"/>
          </w:tcPr>
          <w:p w:rsidR="007E3B8C" w:rsidRPr="007E3B8C" w:rsidRDefault="007E3B8C" w:rsidP="007E3B8C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7E3B8C" w:rsidRPr="007E3B8C" w:rsidRDefault="007E3B8C" w:rsidP="007E3B8C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7E3B8C">
              <w:rPr>
                <w:sz w:val="20"/>
                <w:szCs w:val="20"/>
              </w:rPr>
              <w:t>Porcentaje</w:t>
            </w:r>
          </w:p>
        </w:tc>
        <w:tc>
          <w:tcPr>
            <w:tcW w:w="1559" w:type="dxa"/>
            <w:vAlign w:val="center"/>
          </w:tcPr>
          <w:p w:rsidR="007E3B8C" w:rsidRPr="007E3B8C" w:rsidRDefault="007E3B8C" w:rsidP="00E0225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E3B8C" w:rsidRPr="007E3B8C" w:rsidTr="007E3B8C">
        <w:trPr>
          <w:trHeight w:val="248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7E3B8C" w:rsidRPr="007E3B8C" w:rsidRDefault="007E3B8C" w:rsidP="007E3B8C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 w:val="restart"/>
            <w:tcBorders>
              <w:left w:val="nil"/>
            </w:tcBorders>
            <w:vAlign w:val="center"/>
          </w:tcPr>
          <w:p w:rsidR="007E3B8C" w:rsidRPr="007E3B8C" w:rsidRDefault="007E3B8C" w:rsidP="007E3B8C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7E3B8C">
              <w:rPr>
                <w:sz w:val="20"/>
                <w:szCs w:val="20"/>
              </w:rPr>
              <w:t>Sentencias firmes favorables a la entidad</w:t>
            </w:r>
          </w:p>
        </w:tc>
        <w:tc>
          <w:tcPr>
            <w:tcW w:w="1843" w:type="dxa"/>
            <w:tcBorders>
              <w:left w:val="nil"/>
            </w:tcBorders>
          </w:tcPr>
          <w:p w:rsidR="007E3B8C" w:rsidRPr="007E3B8C" w:rsidRDefault="007E3B8C" w:rsidP="007E3B8C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7E3B8C">
              <w:rPr>
                <w:sz w:val="20"/>
                <w:szCs w:val="20"/>
              </w:rPr>
              <w:t xml:space="preserve">Nº </w:t>
            </w:r>
          </w:p>
        </w:tc>
        <w:tc>
          <w:tcPr>
            <w:tcW w:w="1559" w:type="dxa"/>
            <w:vAlign w:val="center"/>
          </w:tcPr>
          <w:p w:rsidR="007E3B8C" w:rsidRPr="007E3B8C" w:rsidRDefault="007E3B8C" w:rsidP="00E0225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E3B8C" w:rsidRPr="007E3B8C" w:rsidTr="007E3B8C">
        <w:trPr>
          <w:trHeight w:val="247"/>
        </w:trPr>
        <w:tc>
          <w:tcPr>
            <w:tcW w:w="1299" w:type="dxa"/>
            <w:vMerge/>
            <w:tcBorders>
              <w:right w:val="nil"/>
            </w:tcBorders>
            <w:shd w:val="clear" w:color="auto" w:fill="4D7F52"/>
          </w:tcPr>
          <w:p w:rsidR="007E3B8C" w:rsidRPr="007E3B8C" w:rsidRDefault="007E3B8C" w:rsidP="007E3B8C">
            <w:pPr>
              <w:spacing w:after="200" w:line="276" w:lineRule="auto"/>
              <w:ind w:left="113" w:right="113"/>
              <w:jc w:val="both"/>
            </w:pPr>
          </w:p>
        </w:tc>
        <w:tc>
          <w:tcPr>
            <w:tcW w:w="4479" w:type="dxa"/>
            <w:vMerge/>
            <w:tcBorders>
              <w:left w:val="nil"/>
            </w:tcBorders>
          </w:tcPr>
          <w:p w:rsidR="007E3B8C" w:rsidRPr="007E3B8C" w:rsidRDefault="007E3B8C" w:rsidP="007E3B8C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7E3B8C" w:rsidRPr="007E3B8C" w:rsidRDefault="007E3B8C" w:rsidP="007E3B8C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7E3B8C">
              <w:rPr>
                <w:sz w:val="20"/>
                <w:szCs w:val="20"/>
              </w:rPr>
              <w:t>Porcentaje</w:t>
            </w:r>
          </w:p>
        </w:tc>
        <w:tc>
          <w:tcPr>
            <w:tcW w:w="1559" w:type="dxa"/>
            <w:vAlign w:val="center"/>
          </w:tcPr>
          <w:p w:rsidR="007E3B8C" w:rsidRPr="007E3B8C" w:rsidRDefault="007E3B8C" w:rsidP="00E0225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75252B" w:rsidRDefault="0075252B" w:rsidP="00256215">
      <w:pPr>
        <w:pStyle w:val="Cuerpodelboletn"/>
        <w:rPr>
          <w:b/>
          <w:color w:val="00642D"/>
          <w:sz w:val="30"/>
          <w:szCs w:val="30"/>
        </w:rPr>
      </w:pPr>
    </w:p>
    <w:p w:rsidR="001F251B" w:rsidRPr="00256215" w:rsidRDefault="00F20B78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8877F9" w:rsidRDefault="00E0225F" w:rsidP="008B50E2">
      <w:pPr>
        <w:ind w:left="426"/>
        <w:jc w:val="both"/>
      </w:pPr>
      <w:r>
        <w:t>El CGAE</w:t>
      </w:r>
      <w:r w:rsidR="008877F9">
        <w:t xml:space="preserve"> presenta algunas buenas prácticas en relación con la gestión del derecho de acceso que podrían ser aplicadas por otras entidades públicas:</w:t>
      </w:r>
    </w:p>
    <w:p w:rsidR="008877F9" w:rsidRDefault="008877F9" w:rsidP="008877F9">
      <w:pPr>
        <w:pStyle w:val="Prrafodelista"/>
        <w:numPr>
          <w:ilvl w:val="0"/>
          <w:numId w:val="10"/>
        </w:numPr>
        <w:jc w:val="both"/>
      </w:pPr>
      <w:r>
        <w:t>La disponibilidad de un espacio específico para la presentación de  solicitudes de acceso</w:t>
      </w:r>
      <w:r w:rsidR="0063118A">
        <w:t>.</w:t>
      </w:r>
    </w:p>
    <w:p w:rsidR="00A73805" w:rsidRDefault="00D02AF3" w:rsidP="008877F9">
      <w:pPr>
        <w:pStyle w:val="Prrafodelista"/>
        <w:numPr>
          <w:ilvl w:val="0"/>
          <w:numId w:val="10"/>
        </w:numPr>
        <w:jc w:val="both"/>
      </w:pPr>
      <w:r>
        <w:t xml:space="preserve">La disponibilidad de un formulario para presentar las </w:t>
      </w:r>
      <w:r w:rsidR="007E3B8C">
        <w:t>solicitudes</w:t>
      </w:r>
      <w:r>
        <w:t xml:space="preserve">. </w:t>
      </w:r>
    </w:p>
    <w:p w:rsidR="007E3B8C" w:rsidRDefault="007E3B8C" w:rsidP="008877F9">
      <w:pPr>
        <w:pStyle w:val="Prrafodelista"/>
        <w:numPr>
          <w:ilvl w:val="0"/>
          <w:numId w:val="10"/>
        </w:numPr>
        <w:jc w:val="both"/>
      </w:pPr>
      <w:r>
        <w:t xml:space="preserve">La inexistencia de requisitos para la presentación de las solicitudes de acceso. </w:t>
      </w:r>
    </w:p>
    <w:p w:rsidR="0063118A" w:rsidRDefault="0063118A" w:rsidP="0063118A">
      <w:pPr>
        <w:ind w:left="426"/>
      </w:pPr>
    </w:p>
    <w:p w:rsidR="00256215" w:rsidRDefault="00F20B78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34803" w:rsidRDefault="00E0225F" w:rsidP="00F34803">
      <w:pPr>
        <w:pStyle w:val="Prrafodelista"/>
        <w:ind w:left="644"/>
        <w:jc w:val="both"/>
        <w:rPr>
          <w:bCs/>
        </w:rPr>
      </w:pPr>
      <w:r>
        <w:rPr>
          <w:bCs/>
        </w:rPr>
        <w:t>Como se ha señalado en 2020 el CGAE sólo recibió dos solicitudes de acceso a información pública, que se tramitaron en el año y que concedieron acceso parcial a la información solicitada</w:t>
      </w:r>
      <w:r w:rsidR="00B82E44">
        <w:rPr>
          <w:bCs/>
        </w:rPr>
        <w:t>.</w:t>
      </w: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E0225F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lastRenderedPageBreak/>
        <w:t>El CGAE</w:t>
      </w:r>
      <w:r w:rsidR="00F33EF2" w:rsidRPr="00F33EF2">
        <w:rPr>
          <w:bCs/>
        </w:rPr>
        <w:t xml:space="preserve">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F34803" w:rsidP="00F34803">
      <w:pPr>
        <w:pStyle w:val="Prrafodelista"/>
        <w:ind w:left="644"/>
        <w:jc w:val="both"/>
      </w:pPr>
      <w:r>
        <w:t xml:space="preserve">Como se ha indicado, </w:t>
      </w:r>
      <w:r w:rsidR="00E0225F">
        <w:t>el CGAE</w:t>
      </w:r>
      <w:r w:rsidR="00F33EF2" w:rsidRPr="00F33EF2">
        <w:t xml:space="preserve"> </w:t>
      </w:r>
      <w:r w:rsidR="00D74E79">
        <w:t>dispone de un</w:t>
      </w:r>
      <w:r>
        <w:t xml:space="preserve"> espacio </w:t>
      </w:r>
      <w:r w:rsidR="00D74E79">
        <w:t xml:space="preserve">en su </w:t>
      </w:r>
      <w:r w:rsidR="0063118A">
        <w:t>web institucional</w:t>
      </w:r>
      <w:r w:rsidR="00D74E79">
        <w:t xml:space="preserve"> que </w:t>
      </w:r>
      <w:r w:rsidR="007B1EF0">
        <w:t>facilit</w:t>
      </w:r>
      <w:r w:rsidR="008877F9">
        <w:t>a</w:t>
      </w:r>
      <w:r w:rsidR="007B1EF0">
        <w:t xml:space="preserve"> el ejercicio del derecho de acceso a la información del organismo</w:t>
      </w:r>
      <w:r w:rsidR="00E0225F">
        <w:t>, proporcionando un formulario para la presentación de solicitudes vía web. No s</w:t>
      </w:r>
      <w:r w:rsidR="007B1EF0">
        <w:t>e inform</w:t>
      </w:r>
      <w:r w:rsidR="008877F9">
        <w:t>a</w:t>
      </w:r>
      <w:r w:rsidR="005A0354">
        <w:t xml:space="preserve"> </w:t>
      </w:r>
      <w:r>
        <w:t xml:space="preserve">sobre la posibilidad de que los ciudadanos efectúen solicitudes de </w:t>
      </w:r>
      <w:r w:rsidR="005A0354">
        <w:t xml:space="preserve">acceso a </w:t>
      </w:r>
      <w:r>
        <w:t xml:space="preserve">información pública dirigidas a la </w:t>
      </w:r>
      <w:r w:rsidR="005A0354">
        <w:t>entidad</w:t>
      </w:r>
      <w:r w:rsidR="00E0225F">
        <w:t xml:space="preserve">, tampoco </w:t>
      </w:r>
      <w:r w:rsidR="008877F9">
        <w:t xml:space="preserve">sobre los </w:t>
      </w:r>
      <w:r w:rsidR="0063118A" w:rsidRPr="0063118A">
        <w:t>medios</w:t>
      </w:r>
      <w:r w:rsidR="008877F9">
        <w:t xml:space="preserve"> habilitados para la presentación de las solicitudes</w:t>
      </w:r>
      <w:r w:rsidR="00E0225F">
        <w:t xml:space="preserve"> diferentes del formulario ni se aporta información adicional sobre el procedimiento</w:t>
      </w:r>
      <w:r w:rsidR="00A73805">
        <w:t>.</w:t>
      </w:r>
      <w:r w:rsidR="00D02AF3">
        <w:t xml:space="preserve"> Para la presentación de las solicitudes </w:t>
      </w:r>
      <w:r w:rsidR="00E0225F">
        <w:t xml:space="preserve">sólo </w:t>
      </w:r>
      <w:r w:rsidR="00D02AF3">
        <w:t xml:space="preserve">se exige </w:t>
      </w:r>
      <w:r w:rsidR="00E0225F">
        <w:t xml:space="preserve">aportar un correo electrónico, lo que facilita el ejercicio del derecho. </w:t>
      </w:r>
    </w:p>
    <w:p w:rsidR="00D02AF3" w:rsidRDefault="00D02AF3" w:rsidP="00F34803">
      <w:pPr>
        <w:pStyle w:val="Prrafodelista"/>
        <w:ind w:left="644"/>
        <w:jc w:val="both"/>
      </w:pPr>
    </w:p>
    <w:p w:rsidR="00400B8F" w:rsidRPr="00400B8F" w:rsidRDefault="00400B8F" w:rsidP="00400B8F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400B8F">
        <w:t xml:space="preserve">Este Consejo recomienda que, para facilitar el acceso de la ciudadanía al ejercicio del derecho de acceso a la información pública, se incluya </w:t>
      </w:r>
      <w:r>
        <w:t>en el apartado habilitado en el Portal de Transparencia,</w:t>
      </w:r>
      <w:r w:rsidRPr="00400B8F">
        <w:t xml:space="preserve"> información sobre el derecho que asiste a los ciudadanos a solicitar información pública</w:t>
      </w:r>
      <w:r>
        <w:t xml:space="preserve">. </w:t>
      </w:r>
      <w:r w:rsidRPr="00400B8F">
        <w:t xml:space="preserve"> </w:t>
      </w:r>
      <w:r>
        <w:t>Adicionalmente el CGAE podría valorar publicar información relativo al procedimiento</w:t>
      </w:r>
      <w:r w:rsidRPr="00400B8F">
        <w:t xml:space="preserve">. </w:t>
      </w:r>
    </w:p>
    <w:p w:rsidR="00400B8F" w:rsidRPr="00400B8F" w:rsidRDefault="00400B8F" w:rsidP="00400B8F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</w:p>
    <w:p w:rsidR="00400B8F" w:rsidRPr="00400B8F" w:rsidRDefault="00400B8F" w:rsidP="00400B8F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400B8F">
        <w:t>Este mismo espacio podría utilizarse para la publicación de las resoluciones denegatorias por aplicación de los límites del artículo14 de la LTAIBG.</w:t>
      </w:r>
    </w:p>
    <w:p w:rsidR="00400B8F" w:rsidRPr="00400B8F" w:rsidRDefault="00400B8F" w:rsidP="00400B8F">
      <w:pPr>
        <w:ind w:left="644"/>
        <w:contextualSpacing/>
        <w:jc w:val="both"/>
      </w:pPr>
    </w:p>
    <w:p w:rsidR="00205728" w:rsidRDefault="00205728" w:rsidP="00F34803">
      <w:pPr>
        <w:pStyle w:val="Prrafodelista"/>
        <w:ind w:left="644"/>
        <w:jc w:val="both"/>
      </w:pPr>
    </w:p>
    <w:p w:rsidR="00205728" w:rsidRDefault="00205728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8877F9" w:rsidRPr="0053251E" w:rsidRDefault="008877F9" w:rsidP="00D02AF3">
      <w:pPr>
        <w:pStyle w:val="Prrafodelista"/>
        <w:spacing w:before="120" w:after="120"/>
        <w:ind w:left="709"/>
        <w:contextualSpacing w:val="0"/>
        <w:jc w:val="both"/>
      </w:pPr>
      <w:r w:rsidRPr="0053251E">
        <w:t xml:space="preserve">No es posible valorar la gestión de la solicitud de acceso por parte de la entidad ya que no consta que se haya emitido respuesta a la solicitud, por lo que ha de entenderse desestimada por silencio administrativo. </w:t>
      </w:r>
    </w:p>
    <w:p w:rsidR="00D02AF3" w:rsidRPr="0053251E" w:rsidRDefault="00D02AF3" w:rsidP="00D02AF3">
      <w:pPr>
        <w:pStyle w:val="Prrafodelista"/>
        <w:spacing w:before="120" w:after="120"/>
        <w:ind w:left="709"/>
        <w:contextualSpacing w:val="0"/>
        <w:jc w:val="both"/>
      </w:pPr>
    </w:p>
    <w:p w:rsidR="008877F9" w:rsidRDefault="008877F9" w:rsidP="008877F9">
      <w:pPr>
        <w:pStyle w:val="Prrafodelista"/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709"/>
        <w:jc w:val="both"/>
      </w:pPr>
      <w:r w:rsidRPr="0053251E">
        <w:t xml:space="preserve">Aunque se contemple la posibilidad de desestimación de solicitudes de información por silencio administrativo, </w:t>
      </w:r>
      <w:r w:rsidR="0053251E">
        <w:t xml:space="preserve">El CGAE </w:t>
      </w:r>
      <w:r w:rsidRPr="0053251E">
        <w:t>debería haber emitido resolución expresa que diera cumplida respuesta a la solicitud, con indicación de los recursos que contra la misma procedan, órgano ante el que presentarlos y el plazo para interponerlos.</w:t>
      </w:r>
      <w:r>
        <w:t xml:space="preserve"> </w:t>
      </w:r>
    </w:p>
    <w:p w:rsidR="00B40246" w:rsidRDefault="00B40246" w:rsidP="00D84B7B">
      <w:pPr>
        <w:pStyle w:val="Prrafodelista"/>
        <w:ind w:left="644"/>
        <w:jc w:val="both"/>
      </w:pPr>
    </w:p>
    <w:sectPr w:rsidR="00B40246" w:rsidSect="00DF63E7">
      <w:footerReference w:type="default" r:id="rId14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25F" w:rsidRDefault="00E0225F" w:rsidP="00932008">
      <w:pPr>
        <w:spacing w:after="0" w:line="240" w:lineRule="auto"/>
      </w:pPr>
      <w:r>
        <w:separator/>
      </w:r>
    </w:p>
  </w:endnote>
  <w:endnote w:type="continuationSeparator" w:id="0">
    <w:p w:rsidR="00E0225F" w:rsidRDefault="00E0225F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E0225F" w:rsidRPr="00C533E7" w:rsidRDefault="00E0225F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F20B78">
          <w:rPr>
            <w:noProof/>
            <w:sz w:val="18"/>
            <w:szCs w:val="18"/>
          </w:rPr>
          <w:t>2</w:t>
        </w:r>
        <w:r w:rsidRPr="00C533E7">
          <w:rPr>
            <w:sz w:val="18"/>
            <w:szCs w:val="18"/>
          </w:rPr>
          <w:fldChar w:fldCharType="end"/>
        </w:r>
      </w:p>
    </w:sdtContent>
  </w:sdt>
  <w:p w:rsidR="00E0225F" w:rsidRDefault="00E022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25F" w:rsidRDefault="00E0225F" w:rsidP="00932008">
      <w:pPr>
        <w:spacing w:after="0" w:line="240" w:lineRule="auto"/>
      </w:pPr>
      <w:r>
        <w:separator/>
      </w:r>
    </w:p>
  </w:footnote>
  <w:footnote w:type="continuationSeparator" w:id="0">
    <w:p w:rsidR="00E0225F" w:rsidRDefault="00E0225F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A501E4B"/>
    <w:multiLevelType w:val="hybridMultilevel"/>
    <w:tmpl w:val="C6D094AC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C2C5E"/>
    <w:rsid w:val="000C6CFF"/>
    <w:rsid w:val="00102733"/>
    <w:rsid w:val="001252EE"/>
    <w:rsid w:val="001268D0"/>
    <w:rsid w:val="0012783F"/>
    <w:rsid w:val="001561A4"/>
    <w:rsid w:val="00161466"/>
    <w:rsid w:val="00176A94"/>
    <w:rsid w:val="00194000"/>
    <w:rsid w:val="001B3D6A"/>
    <w:rsid w:val="001C238B"/>
    <w:rsid w:val="001E1C29"/>
    <w:rsid w:val="001F251B"/>
    <w:rsid w:val="001F25E4"/>
    <w:rsid w:val="00205728"/>
    <w:rsid w:val="00241D7A"/>
    <w:rsid w:val="00255A7E"/>
    <w:rsid w:val="00256215"/>
    <w:rsid w:val="0026281C"/>
    <w:rsid w:val="0026637D"/>
    <w:rsid w:val="002A154B"/>
    <w:rsid w:val="002A3C70"/>
    <w:rsid w:val="002C3B63"/>
    <w:rsid w:val="002E0A33"/>
    <w:rsid w:val="003145AD"/>
    <w:rsid w:val="00334115"/>
    <w:rsid w:val="00340559"/>
    <w:rsid w:val="00343EEF"/>
    <w:rsid w:val="00354DD8"/>
    <w:rsid w:val="003B5288"/>
    <w:rsid w:val="003C239E"/>
    <w:rsid w:val="003C4C27"/>
    <w:rsid w:val="003F271E"/>
    <w:rsid w:val="003F572A"/>
    <w:rsid w:val="00400B8F"/>
    <w:rsid w:val="0040488C"/>
    <w:rsid w:val="004A123A"/>
    <w:rsid w:val="004A133A"/>
    <w:rsid w:val="004A706B"/>
    <w:rsid w:val="004B4DC3"/>
    <w:rsid w:val="004D6E73"/>
    <w:rsid w:val="004F2655"/>
    <w:rsid w:val="00530405"/>
    <w:rsid w:val="00531D64"/>
    <w:rsid w:val="0053251E"/>
    <w:rsid w:val="005446A8"/>
    <w:rsid w:val="00561402"/>
    <w:rsid w:val="0057532F"/>
    <w:rsid w:val="00595AAF"/>
    <w:rsid w:val="005A0354"/>
    <w:rsid w:val="005B1F0E"/>
    <w:rsid w:val="005B3C15"/>
    <w:rsid w:val="005E37C8"/>
    <w:rsid w:val="00610D8A"/>
    <w:rsid w:val="00626819"/>
    <w:rsid w:val="0063118A"/>
    <w:rsid w:val="00654162"/>
    <w:rsid w:val="006A2766"/>
    <w:rsid w:val="006A2E9A"/>
    <w:rsid w:val="006B49DC"/>
    <w:rsid w:val="006E496D"/>
    <w:rsid w:val="00706E04"/>
    <w:rsid w:val="00707CFE"/>
    <w:rsid w:val="00710031"/>
    <w:rsid w:val="00727BA2"/>
    <w:rsid w:val="00741849"/>
    <w:rsid w:val="00743756"/>
    <w:rsid w:val="0075252B"/>
    <w:rsid w:val="007B0F99"/>
    <w:rsid w:val="007B1EF0"/>
    <w:rsid w:val="007C57AB"/>
    <w:rsid w:val="007C5F74"/>
    <w:rsid w:val="007D6B40"/>
    <w:rsid w:val="007E3B8C"/>
    <w:rsid w:val="00815659"/>
    <w:rsid w:val="008207D9"/>
    <w:rsid w:val="00833900"/>
    <w:rsid w:val="00844FA9"/>
    <w:rsid w:val="008877F9"/>
    <w:rsid w:val="008B50E2"/>
    <w:rsid w:val="008C1E1E"/>
    <w:rsid w:val="008F787D"/>
    <w:rsid w:val="00904E47"/>
    <w:rsid w:val="00923092"/>
    <w:rsid w:val="009239D9"/>
    <w:rsid w:val="00924ACD"/>
    <w:rsid w:val="00930638"/>
    <w:rsid w:val="00932008"/>
    <w:rsid w:val="009609E9"/>
    <w:rsid w:val="0096522C"/>
    <w:rsid w:val="00983919"/>
    <w:rsid w:val="009F4D42"/>
    <w:rsid w:val="00A41DD5"/>
    <w:rsid w:val="00A544D3"/>
    <w:rsid w:val="00A73805"/>
    <w:rsid w:val="00A8003E"/>
    <w:rsid w:val="00A915A2"/>
    <w:rsid w:val="00AB4742"/>
    <w:rsid w:val="00AC715D"/>
    <w:rsid w:val="00AC7259"/>
    <w:rsid w:val="00AD1DBF"/>
    <w:rsid w:val="00AE1CBE"/>
    <w:rsid w:val="00AE788F"/>
    <w:rsid w:val="00B108F0"/>
    <w:rsid w:val="00B378E2"/>
    <w:rsid w:val="00B40246"/>
    <w:rsid w:val="00B5583D"/>
    <w:rsid w:val="00B812AB"/>
    <w:rsid w:val="00B82E44"/>
    <w:rsid w:val="00B841AE"/>
    <w:rsid w:val="00B84669"/>
    <w:rsid w:val="00BA266E"/>
    <w:rsid w:val="00BB6799"/>
    <w:rsid w:val="00BD41F9"/>
    <w:rsid w:val="00BD4582"/>
    <w:rsid w:val="00BE6A46"/>
    <w:rsid w:val="00BF5EDE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02AF3"/>
    <w:rsid w:val="00D41FBA"/>
    <w:rsid w:val="00D445A7"/>
    <w:rsid w:val="00D52E43"/>
    <w:rsid w:val="00D74E79"/>
    <w:rsid w:val="00D84B7B"/>
    <w:rsid w:val="00D93A14"/>
    <w:rsid w:val="00D96F84"/>
    <w:rsid w:val="00DA4FE5"/>
    <w:rsid w:val="00DC0848"/>
    <w:rsid w:val="00DC191B"/>
    <w:rsid w:val="00DD3E02"/>
    <w:rsid w:val="00DE4AA9"/>
    <w:rsid w:val="00DF2ACE"/>
    <w:rsid w:val="00DF4D57"/>
    <w:rsid w:val="00DF63E7"/>
    <w:rsid w:val="00E0225F"/>
    <w:rsid w:val="00E3088D"/>
    <w:rsid w:val="00E34195"/>
    <w:rsid w:val="00E4702F"/>
    <w:rsid w:val="00E47613"/>
    <w:rsid w:val="00E569FD"/>
    <w:rsid w:val="00EE5BDF"/>
    <w:rsid w:val="00EF0588"/>
    <w:rsid w:val="00F14DA4"/>
    <w:rsid w:val="00F20B78"/>
    <w:rsid w:val="00F33EF2"/>
    <w:rsid w:val="00F34803"/>
    <w:rsid w:val="00F47C3B"/>
    <w:rsid w:val="00F50AE2"/>
    <w:rsid w:val="00F71D7D"/>
    <w:rsid w:val="00F7263F"/>
    <w:rsid w:val="00F76499"/>
    <w:rsid w:val="00F900E1"/>
    <w:rsid w:val="00F95C4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bogacia.es/site/portal-de-transparencia/acceso-a-la-informacion-y-relacion-con-la-ciudadania/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transparencia@casafrica.es%20-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4E1E02"/>
    <w:rsid w:val="00543A52"/>
    <w:rsid w:val="00546DCA"/>
    <w:rsid w:val="005A5303"/>
    <w:rsid w:val="006D7969"/>
    <w:rsid w:val="0087096B"/>
    <w:rsid w:val="00A80EAD"/>
    <w:rsid w:val="00AB1850"/>
    <w:rsid w:val="00BF3F3A"/>
    <w:rsid w:val="00C20906"/>
    <w:rsid w:val="00C26568"/>
    <w:rsid w:val="00C60DC9"/>
    <w:rsid w:val="00CA21ED"/>
    <w:rsid w:val="00D31F77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B49A7E-D2A4-4DF3-B233-B5E6F882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47</TotalTime>
  <Pages>4</Pages>
  <Words>1062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5</cp:revision>
  <cp:lastPrinted>2007-10-26T10:03:00Z</cp:lastPrinted>
  <dcterms:created xsi:type="dcterms:W3CDTF">2021-09-20T11:13:00Z</dcterms:created>
  <dcterms:modified xsi:type="dcterms:W3CDTF">2021-10-04T08:41:00Z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