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7180D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7180D" w:rsidRPr="00006957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7180D" w:rsidRDefault="0017180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17180D" w:rsidRPr="00006957" w:rsidRDefault="0017180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80D" w:rsidRDefault="001718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7180D" w:rsidRDefault="0017180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2A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2A20B9">
              <w:rPr>
                <w:sz w:val="24"/>
                <w:szCs w:val="24"/>
              </w:rPr>
              <w:t>Colegios Oficiales de Biólogos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B75FB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FE4D7F">
        <w:rPr>
          <w:bCs/>
        </w:rPr>
        <w:t>Según informa el CG</w:t>
      </w:r>
      <w:r w:rsidR="00FE4D7F" w:rsidRPr="00FE4D7F">
        <w:rPr>
          <w:bCs/>
        </w:rPr>
        <w:t>COB</w:t>
      </w:r>
      <w:r w:rsidRPr="00FE4D7F">
        <w:rPr>
          <w:bCs/>
        </w:rPr>
        <w:t xml:space="preserve">, la gestión de las solicitudes de acceso a información pública, </w:t>
      </w:r>
      <w:r w:rsidR="00FE4D7F">
        <w:rPr>
          <w:bCs/>
        </w:rPr>
        <w:t>no se ha asignado a ninguna unidad específica de su estructura.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B75FB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FE4D7F">
        <w:rPr>
          <w:bCs/>
          <w:color w:val="auto"/>
          <w:szCs w:val="22"/>
        </w:rPr>
        <w:t xml:space="preserve">En 2020 el </w:t>
      </w:r>
      <w:r w:rsidR="00FE4D7F" w:rsidRPr="00FE4D7F">
        <w:rPr>
          <w:bCs/>
          <w:color w:val="auto"/>
          <w:szCs w:val="22"/>
        </w:rPr>
        <w:t xml:space="preserve">CGCOB no </w:t>
      </w:r>
      <w:r w:rsidRPr="00FE4D7F">
        <w:rPr>
          <w:bCs/>
          <w:color w:val="auto"/>
          <w:szCs w:val="22"/>
        </w:rPr>
        <w:t>recibió solicitudes de</w:t>
      </w:r>
      <w:r w:rsidR="00FE4D7F" w:rsidRPr="00FE4D7F">
        <w:rPr>
          <w:bCs/>
          <w:color w:val="auto"/>
          <w:szCs w:val="22"/>
        </w:rPr>
        <w:t xml:space="preserve"> acceso a</w:t>
      </w:r>
      <w:r w:rsidRPr="00FE4D7F">
        <w:rPr>
          <w:bCs/>
          <w:color w:val="auto"/>
          <w:szCs w:val="22"/>
        </w:rPr>
        <w:t xml:space="preserve"> información</w:t>
      </w:r>
      <w:r w:rsidR="00FE4D7F" w:rsidRPr="00FE4D7F">
        <w:rPr>
          <w:bCs/>
          <w:color w:val="auto"/>
          <w:szCs w:val="22"/>
        </w:rPr>
        <w:t xml:space="preserve"> pública.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>CGCOB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B75FB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 xml:space="preserve">CGCOB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Si existe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un formulario web</w:t>
      </w:r>
      <w:r w:rsidR="00B75FBB">
        <w:rPr>
          <w:rStyle w:val="Ttulo2Car"/>
          <w:b w:val="0"/>
          <w:color w:val="auto"/>
          <w:sz w:val="22"/>
          <w:szCs w:val="22"/>
          <w:lang w:bidi="es-ES"/>
        </w:rPr>
        <w:t xml:space="preserve"> y un correo electrónico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para contactar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 xml:space="preserve">de manera genérica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con el Consejo.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B75FB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B75FBB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75FBB">
        <w:rPr>
          <w:color w:val="auto"/>
          <w:lang w:bidi="es-ES"/>
        </w:rPr>
        <w:t xml:space="preserve">Con fecha </w:t>
      </w:r>
      <w:r w:rsidR="00B75FBB" w:rsidRPr="00B75FBB">
        <w:rPr>
          <w:color w:val="auto"/>
          <w:lang w:bidi="es-ES"/>
        </w:rPr>
        <w:t>13</w:t>
      </w:r>
      <w:r w:rsidR="000B2A81" w:rsidRPr="00B75FBB">
        <w:rPr>
          <w:color w:val="auto"/>
          <w:lang w:bidi="es-ES"/>
        </w:rPr>
        <w:t>/0</w:t>
      </w:r>
      <w:r w:rsidR="00B75FBB" w:rsidRPr="00B75FBB">
        <w:rPr>
          <w:color w:val="auto"/>
          <w:lang w:bidi="es-ES"/>
        </w:rPr>
        <w:t>8</w:t>
      </w:r>
      <w:r w:rsidR="000B2A81" w:rsidRPr="00B75FBB">
        <w:rPr>
          <w:color w:val="auto"/>
          <w:lang w:bidi="es-ES"/>
        </w:rPr>
        <w:t>/</w:t>
      </w:r>
      <w:r w:rsidRPr="00B75FBB">
        <w:rPr>
          <w:color w:val="auto"/>
          <w:lang w:bidi="es-ES"/>
        </w:rPr>
        <w:t xml:space="preserve">2021 se presentó </w:t>
      </w:r>
      <w:r w:rsidR="00904E47" w:rsidRPr="00B75FBB">
        <w:rPr>
          <w:color w:val="auto"/>
          <w:lang w:bidi="es-ES"/>
        </w:rPr>
        <w:t>a través</w:t>
      </w:r>
      <w:r w:rsidR="00D02AF3" w:rsidRPr="00B75FBB">
        <w:rPr>
          <w:color w:val="auto"/>
          <w:lang w:bidi="es-ES"/>
        </w:rPr>
        <w:t xml:space="preserve"> del </w:t>
      </w:r>
      <w:r w:rsidR="000C2C5E" w:rsidRPr="00B75FBB">
        <w:rPr>
          <w:color w:val="auto"/>
          <w:lang w:bidi="es-ES"/>
        </w:rPr>
        <w:t xml:space="preserve">buzón de correo </w:t>
      </w:r>
      <w:r w:rsidR="00354DD8" w:rsidRPr="00B75FBB">
        <w:rPr>
          <w:color w:val="auto"/>
          <w:lang w:bidi="es-ES"/>
        </w:rPr>
        <w:t>habilitado</w:t>
      </w:r>
      <w:r w:rsidR="001268D0" w:rsidRPr="00B75FBB">
        <w:rPr>
          <w:color w:val="auto"/>
          <w:lang w:bidi="es-ES"/>
        </w:rPr>
        <w:t xml:space="preserve"> para </w:t>
      </w:r>
      <w:r w:rsidR="00B75FBB">
        <w:rPr>
          <w:color w:val="auto"/>
          <w:lang w:bidi="es-ES"/>
        </w:rPr>
        <w:t>contactos generales</w:t>
      </w:r>
      <w:r w:rsidR="001268D0" w:rsidRPr="00B75FBB">
        <w:rPr>
          <w:color w:val="auto"/>
          <w:lang w:bidi="es-ES"/>
        </w:rPr>
        <w:t xml:space="preserve"> – </w:t>
      </w:r>
      <w:hyperlink r:id="rId11" w:history="1">
        <w:r w:rsidR="00B75FBB" w:rsidRPr="00BF474D">
          <w:rPr>
            <w:rStyle w:val="Hipervnculo"/>
            <w:lang w:bidi="es-ES"/>
          </w:rPr>
          <w:t>cgcob@cgcob.es-</w:t>
        </w:r>
      </w:hyperlink>
      <w:r w:rsidR="00D02AF3" w:rsidRPr="00B75FBB">
        <w:rPr>
          <w:color w:val="auto"/>
          <w:lang w:bidi="es-ES"/>
        </w:rPr>
        <w:t xml:space="preserve"> </w:t>
      </w:r>
      <w:r w:rsidR="00255A7E" w:rsidRPr="00B75FBB">
        <w:rPr>
          <w:color w:val="auto"/>
          <w:lang w:bidi="es-ES"/>
        </w:rPr>
        <w:t>una solicitud de acceso a información pública</w:t>
      </w:r>
      <w:r w:rsidR="000C2C5E" w:rsidRPr="00B75FBB">
        <w:rPr>
          <w:color w:val="auto"/>
          <w:lang w:bidi="es-ES"/>
        </w:rPr>
        <w:t>. No</w:t>
      </w:r>
      <w:r w:rsidR="000B2A81" w:rsidRPr="00B75FBB">
        <w:rPr>
          <w:color w:val="auto"/>
          <w:lang w:bidi="es-ES"/>
        </w:rPr>
        <w:t xml:space="preserve"> se emite un acuse de recibo</w:t>
      </w:r>
      <w:r w:rsidR="00AC715D" w:rsidRPr="00B75FBB">
        <w:rPr>
          <w:color w:val="auto"/>
          <w:lang w:bidi="es-ES"/>
        </w:rPr>
        <w:t xml:space="preserve">. </w:t>
      </w:r>
    </w:p>
    <w:p w:rsidR="001E1C29" w:rsidRPr="00B75FBB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B75FBB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75FBB">
        <w:rPr>
          <w:rStyle w:val="Ttulo2Car"/>
          <w:sz w:val="22"/>
          <w:szCs w:val="22"/>
        </w:rPr>
        <w:t>Tramitación</w:t>
      </w:r>
    </w:p>
    <w:p w:rsidR="00AB4742" w:rsidRPr="00B75FBB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75FBB">
        <w:rPr>
          <w:color w:val="auto"/>
          <w:lang w:bidi="es-ES"/>
        </w:rPr>
        <w:t>No</w:t>
      </w:r>
      <w:r w:rsidR="00B108F0" w:rsidRPr="00B75FBB">
        <w:rPr>
          <w:color w:val="auto"/>
          <w:lang w:bidi="es-ES"/>
        </w:rPr>
        <w:t xml:space="preserve"> se</w:t>
      </w:r>
      <w:r w:rsidR="00F34803" w:rsidRPr="00B75FBB">
        <w:rPr>
          <w:color w:val="auto"/>
          <w:lang w:bidi="es-ES"/>
        </w:rPr>
        <w:t xml:space="preserve"> </w:t>
      </w:r>
      <w:r w:rsidR="00904E47" w:rsidRPr="00B75FBB">
        <w:rPr>
          <w:color w:val="auto"/>
          <w:lang w:bidi="es-ES"/>
        </w:rPr>
        <w:t xml:space="preserve">comunica el </w:t>
      </w:r>
      <w:r w:rsidR="00F34803" w:rsidRPr="00B75FBB">
        <w:rPr>
          <w:color w:val="auto"/>
          <w:lang w:bidi="es-ES"/>
        </w:rPr>
        <w:t xml:space="preserve">inicio de la tramitación de la solicitud. </w:t>
      </w:r>
    </w:p>
    <w:p w:rsidR="00AB4742" w:rsidRPr="00B75FBB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B75FBB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B75FBB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B75FBB">
        <w:rPr>
          <w:color w:val="auto"/>
          <w:lang w:bidi="es-ES"/>
        </w:rPr>
        <w:t xml:space="preserve">No consta que se haya emitido </w:t>
      </w:r>
      <w:r w:rsidR="00B75FBB">
        <w:rPr>
          <w:color w:val="auto"/>
          <w:lang w:bidi="es-ES"/>
        </w:rPr>
        <w:t>contestación</w:t>
      </w:r>
      <w:r w:rsidRPr="00B75FBB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 xml:space="preserve">CGCOB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B75FB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 xml:space="preserve">CGCOB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B75FB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E0225F" w:rsidP="00F34803">
      <w:pPr>
        <w:pStyle w:val="Prrafodelista"/>
        <w:ind w:left="644"/>
        <w:jc w:val="both"/>
        <w:rPr>
          <w:bCs/>
        </w:rPr>
      </w:pPr>
      <w:r w:rsidRPr="00FE4D7F">
        <w:rPr>
          <w:bCs/>
        </w:rPr>
        <w:lastRenderedPageBreak/>
        <w:t xml:space="preserve">Como se ha señalado en 2020 el </w:t>
      </w:r>
      <w:r w:rsidR="00FE4D7F" w:rsidRPr="00FE4D7F">
        <w:rPr>
          <w:bCs/>
        </w:rPr>
        <w:t>CGCOB no r</w:t>
      </w:r>
      <w:r w:rsidRPr="00FE4D7F">
        <w:rPr>
          <w:bCs/>
        </w:rPr>
        <w:t>ecibió solicitudes de acceso a información pública</w:t>
      </w:r>
      <w:r w:rsidR="00FE4D7F" w:rsidRPr="00FE4D7F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FE4D7F" w:rsidRPr="00FE4D7F">
        <w:rPr>
          <w:bCs/>
        </w:rPr>
        <w:t xml:space="preserve">CGCOB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FE4D7F" w:rsidRPr="00FE4D7F">
        <w:t xml:space="preserve">CGCOB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FE4D7F" w:rsidRPr="00FE4D7F">
        <w:t>CGCOB</w:t>
      </w:r>
      <w:r w:rsidRPr="00C627FB">
        <w:t>.</w:t>
      </w:r>
      <w:r w:rsidR="004F6CA8">
        <w:t xml:space="preserve"> Adicionalmente, el </w:t>
      </w:r>
      <w:r w:rsidR="00FE4D7F" w:rsidRPr="00FE4D7F">
        <w:t xml:space="preserve">CGCOB </w:t>
      </w:r>
      <w:r w:rsidR="004F6CA8">
        <w:t xml:space="preserve">podría valorar </w:t>
      </w:r>
      <w:r w:rsidR="00B75FBB">
        <w:t>la publicación de</w:t>
      </w:r>
      <w:r w:rsidR="004F6CA8">
        <w:t xml:space="preserve">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</w:t>
      </w:r>
      <w:bookmarkStart w:id="0" w:name="_GoBack"/>
      <w:bookmarkEnd w:id="0"/>
      <w:r w:rsidRPr="00C627FB">
        <w:t>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B75FBB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B75FBB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02AF3" w:rsidRPr="00B75FBB" w:rsidRDefault="00D02AF3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B75FBB">
        <w:t xml:space="preserve">Aunque se contemple la posibilidad de desestimación de solicitudes de información por silencio administrativo, </w:t>
      </w:r>
      <w:r w:rsidR="00B75FBB">
        <w:t xml:space="preserve">el </w:t>
      </w:r>
      <w:r w:rsidR="00B75FBB" w:rsidRPr="00FE4D7F">
        <w:t>CGCOB</w:t>
      </w:r>
      <w:r w:rsidRPr="00B75FBB">
        <w:t xml:space="preserve"> 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D" w:rsidRDefault="0017180D" w:rsidP="00932008">
      <w:pPr>
        <w:spacing w:after="0" w:line="240" w:lineRule="auto"/>
      </w:pPr>
      <w:r>
        <w:separator/>
      </w:r>
    </w:p>
  </w:endnote>
  <w:end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7180D" w:rsidRPr="00C533E7" w:rsidRDefault="0017180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75FBB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17180D" w:rsidRDefault="00171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D" w:rsidRDefault="0017180D" w:rsidP="00932008">
      <w:pPr>
        <w:spacing w:after="0" w:line="240" w:lineRule="auto"/>
      </w:pPr>
      <w:r>
        <w:separator/>
      </w:r>
    </w:p>
  </w:footnote>
  <w:foot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75FBB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67024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gcob@cgcob.es-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FC53F-2B57-4118-8316-FAE3A216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2021-09-21T11:59:00Z</dcterms:created>
  <dcterms:modified xsi:type="dcterms:W3CDTF">2021-10-04T08:55:00Z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