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E20A6" w:rsidRDefault="005E20A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E20A6" w:rsidRPr="00006957" w:rsidRDefault="005E20A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EB6872" w:rsidRDefault="00EB68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EB6872" w:rsidRPr="00006957" w:rsidRDefault="00EB687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20A6" w:rsidRDefault="005E20A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EB6872" w:rsidRDefault="00EB687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1B4764" w:rsidP="008044FB">
            <w:pPr>
              <w:rPr>
                <w:sz w:val="24"/>
                <w:szCs w:val="24"/>
              </w:rPr>
            </w:pPr>
            <w:r w:rsidRPr="001B4764">
              <w:rPr>
                <w:sz w:val="24"/>
                <w:szCs w:val="24"/>
              </w:rPr>
              <w:t xml:space="preserve">Consejo General de Colegios Oficiales de </w:t>
            </w:r>
            <w:r w:rsidR="008044FB">
              <w:rPr>
                <w:sz w:val="24"/>
                <w:szCs w:val="24"/>
              </w:rPr>
              <w:t xml:space="preserve">Graduados e </w:t>
            </w:r>
            <w:r w:rsidRPr="001B4764">
              <w:rPr>
                <w:sz w:val="24"/>
                <w:szCs w:val="24"/>
              </w:rPr>
              <w:t xml:space="preserve">Ingenieros Técnicos </w:t>
            </w:r>
            <w:r w:rsidR="008044FB">
              <w:rPr>
                <w:sz w:val="24"/>
                <w:szCs w:val="24"/>
              </w:rPr>
              <w:t>Industriales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8044FB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F62F6">
              <w:rPr>
                <w:sz w:val="24"/>
                <w:szCs w:val="24"/>
              </w:rPr>
              <w:t>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6D7EBC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3C239E" w:rsidP="003C239E">
      <w:pPr>
        <w:ind w:left="284"/>
        <w:jc w:val="both"/>
      </w:pPr>
      <w:r w:rsidRPr="005E20A6">
        <w:rPr>
          <w:bCs/>
        </w:rPr>
        <w:t xml:space="preserve">Según informa el </w:t>
      </w:r>
      <w:r w:rsidR="005E20A6" w:rsidRPr="005E20A6">
        <w:rPr>
          <w:bCs/>
        </w:rPr>
        <w:t>COGITI</w:t>
      </w:r>
      <w:r w:rsidRPr="005E20A6">
        <w:rPr>
          <w:bCs/>
        </w:rPr>
        <w:t>, la gestión de las solicitudes de acceso a información pública</w:t>
      </w:r>
      <w:r w:rsidR="00C45AAA" w:rsidRPr="005E20A6">
        <w:rPr>
          <w:bCs/>
        </w:rPr>
        <w:t xml:space="preserve"> se ha asignado </w:t>
      </w:r>
      <w:r w:rsidR="00E46F2A" w:rsidRPr="005E20A6">
        <w:rPr>
          <w:bCs/>
        </w:rPr>
        <w:t xml:space="preserve">a </w:t>
      </w:r>
      <w:r w:rsidR="005E20A6">
        <w:rPr>
          <w:bCs/>
        </w:rPr>
        <w:t>su servicio jurídico</w:t>
      </w:r>
      <w:r w:rsidR="00E46F2A" w:rsidRPr="005E20A6">
        <w:rPr>
          <w:bCs/>
        </w:rPr>
        <w:t xml:space="preserve"> </w:t>
      </w:r>
      <w:r w:rsidR="00CD34CF" w:rsidRPr="005E20A6">
        <w:rPr>
          <w:bCs/>
        </w:rPr>
        <w:t xml:space="preserve">Asesoría Jurídica </w:t>
      </w:r>
      <w:r w:rsidR="00E46F2A" w:rsidRPr="005E20A6">
        <w:rPr>
          <w:bCs/>
        </w:rPr>
        <w:t xml:space="preserve">de la entidad que cuenta con </w:t>
      </w:r>
      <w:r w:rsidR="005E20A6">
        <w:rPr>
          <w:bCs/>
        </w:rPr>
        <w:t>una</w:t>
      </w:r>
      <w:r w:rsidR="00E46F2A" w:rsidRPr="005E20A6">
        <w:rPr>
          <w:bCs/>
        </w:rPr>
        <w:t xml:space="preserve"> </w:t>
      </w:r>
      <w:r w:rsidR="00C45AAA" w:rsidRPr="005E20A6">
        <w:rPr>
          <w:bCs/>
        </w:rPr>
        <w:t>persona que compatibiliza esta actividad con otras tareas.</w:t>
      </w:r>
      <w:r w:rsidR="00C45AAA">
        <w:rPr>
          <w:bCs/>
        </w:rPr>
        <w:t xml:space="preserve"> </w:t>
      </w:r>
      <w:r w:rsidRPr="00C45AAA">
        <w:rPr>
          <w:bCs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D7EBC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Default="0026637D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5E20A6">
        <w:rPr>
          <w:bCs/>
          <w:color w:val="auto"/>
          <w:szCs w:val="22"/>
        </w:rPr>
        <w:t xml:space="preserve">En 2020 el </w:t>
      </w:r>
      <w:r w:rsidR="005E20A6" w:rsidRPr="005E20A6">
        <w:rPr>
          <w:bCs/>
          <w:color w:val="auto"/>
          <w:szCs w:val="22"/>
        </w:rPr>
        <w:t xml:space="preserve">COGITI  </w:t>
      </w:r>
      <w:r w:rsidR="005E20A6">
        <w:rPr>
          <w:bCs/>
          <w:color w:val="auto"/>
          <w:szCs w:val="22"/>
        </w:rPr>
        <w:t xml:space="preserve">no </w:t>
      </w:r>
      <w:r w:rsidRPr="005E20A6">
        <w:rPr>
          <w:bCs/>
          <w:color w:val="auto"/>
          <w:szCs w:val="22"/>
        </w:rPr>
        <w:t xml:space="preserve">recibió </w:t>
      </w:r>
      <w:r w:rsidR="00CD34CF" w:rsidRPr="005E20A6">
        <w:rPr>
          <w:bCs/>
          <w:color w:val="auto"/>
          <w:szCs w:val="22"/>
        </w:rPr>
        <w:t>solicitud</w:t>
      </w:r>
      <w:r w:rsidR="005E20A6">
        <w:rPr>
          <w:bCs/>
          <w:color w:val="auto"/>
          <w:szCs w:val="22"/>
        </w:rPr>
        <w:t>es</w:t>
      </w:r>
      <w:r w:rsidR="00CD34CF" w:rsidRPr="005E20A6">
        <w:rPr>
          <w:bCs/>
          <w:color w:val="auto"/>
          <w:szCs w:val="22"/>
        </w:rPr>
        <w:t xml:space="preserve"> </w:t>
      </w:r>
      <w:r w:rsidRPr="005E20A6">
        <w:rPr>
          <w:bCs/>
          <w:color w:val="auto"/>
          <w:szCs w:val="22"/>
        </w:rPr>
        <w:t>de</w:t>
      </w:r>
      <w:r w:rsidR="00C45AAA" w:rsidRPr="005E20A6">
        <w:rPr>
          <w:bCs/>
          <w:color w:val="auto"/>
          <w:szCs w:val="22"/>
        </w:rPr>
        <w:t xml:space="preserve"> acceso a</w:t>
      </w:r>
      <w:r w:rsidRPr="005E20A6">
        <w:rPr>
          <w:bCs/>
          <w:color w:val="auto"/>
          <w:szCs w:val="22"/>
        </w:rPr>
        <w:t xml:space="preserve"> información</w:t>
      </w:r>
      <w:r w:rsidR="00C45AAA" w:rsidRPr="005E20A6">
        <w:rPr>
          <w:bCs/>
          <w:color w:val="auto"/>
          <w:szCs w:val="22"/>
        </w:rPr>
        <w:t xml:space="preserve"> pública de la entidad</w:t>
      </w:r>
      <w:r w:rsidR="00CD34CF" w:rsidRPr="005E20A6">
        <w:rPr>
          <w:bCs/>
          <w:color w:val="auto"/>
          <w:szCs w:val="22"/>
        </w:rPr>
        <w:t xml:space="preserve">. </w:t>
      </w:r>
    </w:p>
    <w:p w:rsidR="005E20A6" w:rsidRPr="00C45AAA" w:rsidRDefault="005E20A6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</w:p>
    <w:p w:rsidR="00976F97" w:rsidRPr="002A2E82" w:rsidRDefault="00976F97" w:rsidP="00976F97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highlight w:val="yellow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Por otra parte, no se ha localizado en la web del</w:t>
      </w:r>
      <w:r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t>COGITI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2A2E82">
        <w:rPr>
          <w:rStyle w:val="Ttulo2Car"/>
          <w:b w:val="0"/>
          <w:color w:val="auto"/>
          <w:sz w:val="22"/>
          <w:szCs w:val="22"/>
          <w:lang w:bidi="es-ES"/>
        </w:rPr>
        <w:t xml:space="preserve"> información sobre las solicitudes denegadas por aplicación de los límites del artículo 14 de la LTAIBG.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6D7EBC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976F97" w:rsidRPr="00976F97">
        <w:rPr>
          <w:rStyle w:val="Ttulo2Car"/>
          <w:b w:val="0"/>
          <w:color w:val="auto"/>
          <w:sz w:val="22"/>
          <w:szCs w:val="22"/>
          <w:lang w:bidi="es-ES"/>
        </w:rPr>
        <w:t xml:space="preserve">COGITI  </w:t>
      </w:r>
      <w:r w:rsidR="00EB6872">
        <w:rPr>
          <w:rStyle w:val="Ttulo2Car"/>
          <w:b w:val="0"/>
          <w:color w:val="auto"/>
          <w:sz w:val="22"/>
          <w:szCs w:val="22"/>
          <w:lang w:bidi="es-ES"/>
        </w:rPr>
        <w:t>dispone e</w:t>
      </w:r>
      <w:r w:rsidR="00621C42" w:rsidRPr="00621C42">
        <w:rPr>
          <w:rStyle w:val="Ttulo2Car"/>
          <w:b w:val="0"/>
          <w:color w:val="auto"/>
          <w:sz w:val="22"/>
          <w:szCs w:val="22"/>
          <w:lang w:bidi="es-ES"/>
        </w:rPr>
        <w:t xml:space="preserve">n su Portal de Transparencia </w:t>
      </w:r>
      <w:r w:rsidR="00EB6872">
        <w:rPr>
          <w:rStyle w:val="Ttulo2Car"/>
          <w:b w:val="0"/>
          <w:color w:val="auto"/>
          <w:sz w:val="22"/>
          <w:szCs w:val="22"/>
          <w:lang w:bidi="es-ES"/>
        </w:rPr>
        <w:t>d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>para la</w:t>
      </w:r>
      <w:r w:rsidR="009D0652">
        <w:rPr>
          <w:rStyle w:val="Ttulo2Car"/>
          <w:b w:val="0"/>
          <w:color w:val="auto"/>
          <w:sz w:val="22"/>
          <w:szCs w:val="22"/>
          <w:lang w:bidi="es-ES"/>
        </w:rPr>
        <w:t xml:space="preserve"> presentación de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solicitudes de acceso a la información pública. </w:t>
      </w:r>
      <w:r w:rsidR="00621C42">
        <w:rPr>
          <w:rStyle w:val="Ttulo2Car"/>
          <w:b w:val="0"/>
          <w:color w:val="auto"/>
          <w:sz w:val="22"/>
          <w:szCs w:val="22"/>
          <w:lang w:bidi="es-ES"/>
        </w:rPr>
        <w:t xml:space="preserve">En este espacio </w:t>
      </w:r>
      <w:r w:rsidR="00976F97">
        <w:rPr>
          <w:rStyle w:val="Ttulo2Car"/>
          <w:b w:val="0"/>
          <w:color w:val="auto"/>
          <w:sz w:val="22"/>
          <w:szCs w:val="22"/>
          <w:lang w:bidi="es-ES"/>
        </w:rPr>
        <w:t xml:space="preserve">se localiza un formulario web para </w:t>
      </w:r>
      <w:r>
        <w:rPr>
          <w:rStyle w:val="Ttulo2Car"/>
          <w:b w:val="0"/>
          <w:color w:val="auto"/>
          <w:sz w:val="22"/>
          <w:szCs w:val="22"/>
          <w:lang w:bidi="es-ES"/>
        </w:rPr>
        <w:t>e</w:t>
      </w:r>
      <w:r w:rsidR="00976F97">
        <w:rPr>
          <w:rStyle w:val="Ttulo2Car"/>
          <w:b w:val="0"/>
          <w:color w:val="auto"/>
          <w:sz w:val="22"/>
          <w:szCs w:val="22"/>
          <w:lang w:bidi="es-ES"/>
        </w:rPr>
        <w:t>sta finalidad. Pero no se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informa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sobre el derecho que asiste a los ciudadanos a solicitar información pública al amparo de la LTAIBG</w:t>
      </w:r>
      <w:r w:rsidR="00E72994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976F97">
        <w:rPr>
          <w:rStyle w:val="Ttulo2Car"/>
          <w:b w:val="0"/>
          <w:color w:val="auto"/>
          <w:sz w:val="22"/>
          <w:szCs w:val="22"/>
          <w:lang w:bidi="es-ES"/>
        </w:rPr>
        <w:t>Tampoco</w:t>
      </w:r>
      <w:r w:rsidR="00E72994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F13AC">
        <w:rPr>
          <w:rStyle w:val="Ttulo2Car"/>
          <w:b w:val="0"/>
          <w:color w:val="auto"/>
          <w:sz w:val="22"/>
          <w:szCs w:val="22"/>
          <w:lang w:bidi="es-ES"/>
        </w:rPr>
        <w:t xml:space="preserve">se informa </w:t>
      </w:r>
      <w:r w:rsidR="004F13AC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sobre el procedimiento de gestión</w:t>
      </w:r>
      <w:r w:rsidR="00E72994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976F97">
        <w:rPr>
          <w:rStyle w:val="Ttulo2Car"/>
          <w:b w:val="0"/>
          <w:color w:val="auto"/>
          <w:sz w:val="22"/>
          <w:szCs w:val="22"/>
          <w:lang w:bidi="es-ES"/>
        </w:rPr>
        <w:t xml:space="preserve">A partir de los contenidos del formulario se deduce que los únicos requisitos establecidos son la identificación y los datos de contacto. </w:t>
      </w:r>
    </w:p>
    <w:p w:rsidR="00B40246" w:rsidRPr="00E34195" w:rsidRDefault="006D7EBC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976F97">
        <w:rPr>
          <w:color w:val="auto"/>
          <w:lang w:bidi="es-ES"/>
        </w:rPr>
        <w:t>07</w:t>
      </w:r>
      <w:r w:rsidR="00CD34CF">
        <w:rPr>
          <w:color w:val="auto"/>
          <w:lang w:bidi="es-ES"/>
        </w:rPr>
        <w:t>/07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E72994">
        <w:rPr>
          <w:color w:val="auto"/>
          <w:lang w:bidi="es-ES"/>
        </w:rPr>
        <w:t xml:space="preserve">del </w:t>
      </w:r>
      <w:r w:rsidR="00976F97">
        <w:rPr>
          <w:color w:val="auto"/>
          <w:lang w:bidi="es-ES"/>
        </w:rPr>
        <w:t>formulario web habilitado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AB4742" w:rsidRPr="000D46B6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>No</w:t>
      </w:r>
      <w:r w:rsidR="00B108F0" w:rsidRPr="000D46B6">
        <w:rPr>
          <w:color w:val="auto"/>
          <w:lang w:bidi="es-ES"/>
        </w:rPr>
        <w:t xml:space="preserve"> se</w:t>
      </w:r>
      <w:r w:rsidR="00F34803" w:rsidRPr="000D46B6">
        <w:rPr>
          <w:color w:val="auto"/>
          <w:lang w:bidi="es-ES"/>
        </w:rPr>
        <w:t xml:space="preserve"> </w:t>
      </w:r>
      <w:r w:rsidR="00904E47" w:rsidRPr="000D46B6">
        <w:rPr>
          <w:color w:val="auto"/>
          <w:lang w:bidi="es-ES"/>
        </w:rPr>
        <w:t xml:space="preserve">comunica el </w:t>
      </w:r>
      <w:r w:rsidR="00F34803" w:rsidRPr="000D46B6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0D46B6" w:rsidRPr="000D46B6" w:rsidRDefault="000D46B6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976F97" w:rsidRDefault="00976F97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976F97">
        <w:rPr>
          <w:color w:val="auto"/>
          <w:lang w:bidi="es-ES"/>
        </w:rPr>
        <w:t>No se dicta resolución expresa. Con fecha 13/07/2021 se remite un correo e</w:t>
      </w:r>
      <w:r w:rsidR="007E49A6">
        <w:rPr>
          <w:color w:val="auto"/>
          <w:lang w:bidi="es-ES"/>
        </w:rPr>
        <w:t>lectrónico por parte del COGITI</w:t>
      </w:r>
      <w:r w:rsidRPr="00976F97">
        <w:rPr>
          <w:color w:val="auto"/>
          <w:lang w:bidi="es-ES"/>
        </w:rPr>
        <w:t xml:space="preserve">, en el que se indica que </w:t>
      </w:r>
      <w:r w:rsidR="007E49A6">
        <w:rPr>
          <w:color w:val="auto"/>
          <w:lang w:bidi="es-ES"/>
        </w:rPr>
        <w:t>“</w:t>
      </w:r>
      <w:r w:rsidR="007E49A6" w:rsidRPr="007E49A6">
        <w:rPr>
          <w:i/>
          <w:color w:val="auto"/>
          <w:lang w:bidi="es-ES"/>
        </w:rPr>
        <w:t>En relación con lo dispuesto en la Ley 19/2013, de 9 de diciembre, de Transparencia, Acceso a la Información Pública y Buen Gobierno, este Consejo General pone a su disposición el Portal de Transparencia, donde figura la información que deben cumplir los responsables públicos</w:t>
      </w:r>
      <w:r w:rsidR="007E49A6">
        <w:rPr>
          <w:i/>
          <w:color w:val="auto"/>
          <w:lang w:bidi="es-ES"/>
        </w:rPr>
        <w:t>”</w:t>
      </w:r>
      <w:bookmarkStart w:id="0" w:name="_GoBack"/>
      <w:bookmarkEnd w:id="0"/>
      <w:r w:rsidR="007E49A6">
        <w:rPr>
          <w:color w:val="auto"/>
          <w:lang w:bidi="es-ES"/>
        </w:rPr>
        <w:t>, lo que no se relaciona con la información solicitada.</w:t>
      </w:r>
      <w:r w:rsidR="007E49A6" w:rsidRPr="007E49A6">
        <w:rPr>
          <w:color w:val="auto"/>
          <w:lang w:bidi="es-ES"/>
        </w:rPr>
        <w:t xml:space="preserve"> </w:t>
      </w: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E72994">
        <w:rPr>
          <w:color w:val="auto"/>
        </w:rPr>
        <w:t>dos</w:t>
      </w:r>
      <w:r w:rsidR="009D0652">
        <w:rPr>
          <w:color w:val="auto"/>
        </w:rPr>
        <w:t xml:space="preserve"> </w:t>
      </w:r>
      <w:r w:rsidR="002F57A7">
        <w:rPr>
          <w:color w:val="auto"/>
        </w:rPr>
        <w:t>reclamaci</w:t>
      </w:r>
      <w:r w:rsidR="00E72994">
        <w:rPr>
          <w:color w:val="auto"/>
        </w:rPr>
        <w:t>ones</w:t>
      </w:r>
      <w:r>
        <w:rPr>
          <w:color w:val="auto"/>
        </w:rPr>
        <w:t xml:space="preserve"> contra resoluciones del </w:t>
      </w:r>
      <w:r w:rsidR="007E49A6" w:rsidRPr="007E49A6">
        <w:rPr>
          <w:color w:val="auto"/>
        </w:rPr>
        <w:t xml:space="preserve">COGITI </w:t>
      </w:r>
      <w:r>
        <w:rPr>
          <w:color w:val="auto"/>
        </w:rPr>
        <w:t xml:space="preserve">en materia de acceso a la información pública. </w:t>
      </w:r>
      <w:r w:rsidR="007E49A6">
        <w:rPr>
          <w:color w:val="auto"/>
        </w:rPr>
        <w:t>Ambas reclamaciones fueron</w:t>
      </w:r>
      <w:r w:rsidR="00E72994">
        <w:rPr>
          <w:color w:val="auto"/>
        </w:rPr>
        <w:t xml:space="preserve"> desestimada</w:t>
      </w:r>
      <w:r w:rsidR="007E49A6">
        <w:rPr>
          <w:color w:val="auto"/>
        </w:rPr>
        <w:t>s</w:t>
      </w:r>
      <w:r w:rsidR="00E72994">
        <w:rPr>
          <w:color w:val="auto"/>
        </w:rPr>
        <w:t>.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6D7EBC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E72994" w:rsidRDefault="00E72994" w:rsidP="00E72994">
      <w:pPr>
        <w:spacing w:before="120" w:after="120" w:line="312" w:lineRule="auto"/>
        <w:ind w:left="426"/>
        <w:jc w:val="both"/>
      </w:pPr>
      <w:r>
        <w:t xml:space="preserve">La gestión del derecho de acceso a la información pública por parte del </w:t>
      </w:r>
      <w:r w:rsidR="007E49A6" w:rsidRPr="007E49A6">
        <w:t xml:space="preserve">COGITI </w:t>
      </w:r>
      <w:r>
        <w:t>presenta un conjunto de buenas prácticas que podrían ser aplicadas por otras instituciones y organizaciones públicas. En este sentido cabe destacar:</w:t>
      </w:r>
    </w:p>
    <w:p w:rsidR="00E72994" w:rsidRDefault="00E72994" w:rsidP="00E72994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4F13AC" w:rsidRDefault="004F13AC" w:rsidP="00E72994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formulario web</w:t>
      </w:r>
    </w:p>
    <w:p w:rsidR="00553508" w:rsidRDefault="00553508" w:rsidP="00E72994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No se exige acreditar la identidad.</w:t>
      </w:r>
    </w:p>
    <w:p w:rsidR="0063118A" w:rsidRDefault="0063118A" w:rsidP="0063118A">
      <w:pPr>
        <w:ind w:left="426"/>
      </w:pPr>
    </w:p>
    <w:p w:rsidR="00256215" w:rsidRDefault="006D7EBC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45AAA" w:rsidP="00F34803">
      <w:pPr>
        <w:pStyle w:val="Prrafodelista"/>
        <w:ind w:left="644"/>
        <w:jc w:val="both"/>
        <w:rPr>
          <w:bCs/>
        </w:rPr>
      </w:pPr>
      <w:r w:rsidRPr="005E20A6">
        <w:rPr>
          <w:bCs/>
        </w:rPr>
        <w:t>E</w:t>
      </w:r>
      <w:r w:rsidR="00E0225F" w:rsidRPr="005E20A6">
        <w:rPr>
          <w:bCs/>
        </w:rPr>
        <w:t xml:space="preserve">l </w:t>
      </w:r>
      <w:r w:rsidR="005E20A6" w:rsidRPr="005E20A6">
        <w:rPr>
          <w:bCs/>
        </w:rPr>
        <w:t xml:space="preserve">COGITI  </w:t>
      </w:r>
      <w:r w:rsidR="005E20A6">
        <w:rPr>
          <w:bCs/>
        </w:rPr>
        <w:t xml:space="preserve">no </w:t>
      </w:r>
      <w:r w:rsidRPr="005E20A6">
        <w:rPr>
          <w:bCs/>
        </w:rPr>
        <w:t xml:space="preserve">recibió en el año 2020 </w:t>
      </w:r>
      <w:r w:rsidR="001B4764" w:rsidRPr="005E20A6">
        <w:rPr>
          <w:bCs/>
        </w:rPr>
        <w:t>solicitud</w:t>
      </w:r>
      <w:r w:rsidR="005E20A6">
        <w:rPr>
          <w:bCs/>
        </w:rPr>
        <w:t>es</w:t>
      </w:r>
      <w:r w:rsidR="001B4764" w:rsidRPr="005E20A6">
        <w:rPr>
          <w:bCs/>
        </w:rPr>
        <w:t xml:space="preserve"> de acceso a información pública de la entidad.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7E49A6" w:rsidRDefault="007E49A6" w:rsidP="007E49A6">
      <w:pPr>
        <w:pStyle w:val="Prrafodelista"/>
        <w:ind w:left="709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7E49A6" w:rsidRDefault="007E49A6" w:rsidP="007E49A6">
      <w:pPr>
        <w:pStyle w:val="Prrafodelista"/>
        <w:ind w:left="644"/>
        <w:jc w:val="both"/>
        <w:rPr>
          <w:bCs/>
        </w:rPr>
      </w:pPr>
    </w:p>
    <w:p w:rsidR="007E49A6" w:rsidRDefault="007E49A6" w:rsidP="007E49A6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Pr="006D0451">
        <w:rPr>
          <w:bCs/>
        </w:rPr>
        <w:t>CO</w:t>
      </w:r>
      <w:r>
        <w:rPr>
          <w:bCs/>
        </w:rPr>
        <w:t>G</w:t>
      </w:r>
      <w:r w:rsidRPr="006D0451">
        <w:rPr>
          <w:bCs/>
        </w:rPr>
        <w:t xml:space="preserve">ITI </w:t>
      </w:r>
      <w:r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7E49A6" w:rsidRDefault="007E49A6" w:rsidP="007E49A6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7E49A6" w:rsidRPr="008648E8" w:rsidRDefault="007E49A6" w:rsidP="007E49A6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7E49A6" w:rsidRPr="00F46483" w:rsidRDefault="007E49A6" w:rsidP="007E49A6">
      <w:pPr>
        <w:pStyle w:val="Prrafodelista"/>
        <w:spacing w:before="120" w:after="120" w:line="312" w:lineRule="auto"/>
        <w:ind w:left="426"/>
        <w:contextualSpacing w:val="0"/>
        <w:jc w:val="both"/>
        <w:rPr>
          <w:highlight w:val="yellow"/>
        </w:rPr>
      </w:pPr>
    </w:p>
    <w:p w:rsidR="004F13AC" w:rsidRDefault="004F13AC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F34803" w:rsidP="00F34803">
      <w:pPr>
        <w:pStyle w:val="Prrafodelista"/>
        <w:ind w:left="644"/>
        <w:jc w:val="both"/>
      </w:pPr>
      <w:r>
        <w:t xml:space="preserve">Como se ha indicado, </w:t>
      </w:r>
      <w:r w:rsidR="00E0225F">
        <w:t xml:space="preserve">el </w:t>
      </w:r>
      <w:r w:rsidR="007E49A6" w:rsidRPr="007E49A6">
        <w:t xml:space="preserve">COGITI </w:t>
      </w:r>
      <w:r w:rsidR="00D74E79">
        <w:t>dispone de un</w:t>
      </w:r>
      <w:r>
        <w:t xml:space="preserve"> espacio </w:t>
      </w:r>
      <w:r w:rsidR="00D74E79">
        <w:t xml:space="preserve">en su </w:t>
      </w:r>
      <w:r w:rsidR="009D0652">
        <w:t>Portal de Transparencia</w:t>
      </w:r>
      <w:r w:rsidR="00D74E79">
        <w:t xml:space="preserve"> que </w:t>
      </w:r>
      <w:r w:rsidR="007B1EF0">
        <w:t>facilit</w:t>
      </w:r>
      <w:r w:rsidR="0007768E">
        <w:t>a</w:t>
      </w:r>
      <w:r w:rsidR="007B1EF0">
        <w:t xml:space="preserve"> el ejercicio del derecho de acceso a la información </w:t>
      </w:r>
      <w:r w:rsidR="00863EFB">
        <w:t>de la entidad</w:t>
      </w:r>
      <w:r w:rsidR="00E0225F">
        <w:t xml:space="preserve">. </w:t>
      </w:r>
      <w:r w:rsidR="007E49A6">
        <w:t xml:space="preserve">Pero en este espacio no se </w:t>
      </w:r>
      <w:r w:rsidR="007B1EF0">
        <w:t>inform</w:t>
      </w:r>
      <w:r w:rsidR="008877F9">
        <w:t>a</w:t>
      </w:r>
      <w:r w:rsidR="005A0354">
        <w:t xml:space="preserve"> </w:t>
      </w:r>
      <w:r>
        <w:t xml:space="preserve">sobre la posibilidad de que los ciudadanos efectúen solicitudes de </w:t>
      </w:r>
      <w:r w:rsidR="005A0354">
        <w:t xml:space="preserve">acceso a </w:t>
      </w:r>
      <w:r>
        <w:t xml:space="preserve">información pública dirigidas </w:t>
      </w:r>
      <w:r w:rsidR="00863EFB">
        <w:t>al CG</w:t>
      </w:r>
      <w:r w:rsidR="007E49A6">
        <w:t xml:space="preserve"> ni sobre</w:t>
      </w:r>
      <w:r w:rsidR="004F13AC">
        <w:t xml:space="preserve"> el procedimiento de gestión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7E49A6" w:rsidRDefault="007E49A6" w:rsidP="007E49A6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</w:t>
      </w:r>
      <w:r>
        <w:t>amplíen los contenidos del apartado “¿No encuentras lo que buscas?”, incorporando</w:t>
      </w:r>
      <w:r w:rsidRPr="00C627FB">
        <w:t xml:space="preserve"> información sobre el derecho que asiste a los ciudadanos </w:t>
      </w:r>
      <w:r>
        <w:t>a solicitar información pública</w:t>
      </w:r>
      <w:r w:rsidRPr="00C627FB">
        <w:t>.</w:t>
      </w:r>
      <w:r>
        <w:t xml:space="preserve"> Adicionalmente, el </w:t>
      </w:r>
      <w:r w:rsidRPr="007E49A6">
        <w:t xml:space="preserve">COGITI </w:t>
      </w:r>
      <w:r>
        <w:t>podría valorar publicar información relativa al procedimiento</w:t>
      </w:r>
      <w:r w:rsidRPr="00C627FB">
        <w:t xml:space="preserve"> </w:t>
      </w:r>
    </w:p>
    <w:p w:rsidR="007E49A6" w:rsidRDefault="007E49A6" w:rsidP="007E49A6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7E49A6" w:rsidRPr="00C627FB" w:rsidRDefault="007E49A6" w:rsidP="007E49A6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7A2A04" w:rsidRDefault="007A2A04" w:rsidP="007A2A04">
      <w:pPr>
        <w:pStyle w:val="Prrafodelista"/>
        <w:ind w:left="709"/>
        <w:jc w:val="both"/>
      </w:pPr>
      <w:r>
        <w:t xml:space="preserve">La gestión de la solicitud de acceso presentada no se ha ajustado al procedimiento establecido por la LTAIBG. </w:t>
      </w:r>
    </w:p>
    <w:p w:rsidR="007A2A04" w:rsidRDefault="007A2A04" w:rsidP="007A2A04">
      <w:pPr>
        <w:pStyle w:val="Prrafodelista"/>
        <w:ind w:left="709"/>
        <w:jc w:val="both"/>
      </w:pPr>
    </w:p>
    <w:p w:rsidR="007A2A04" w:rsidRDefault="007A2A04" w:rsidP="007A2A04">
      <w:pPr>
        <w:pStyle w:val="Prrafodelista"/>
        <w:ind w:left="709"/>
        <w:jc w:val="both"/>
      </w:pPr>
      <w:r>
        <w:t xml:space="preserve">El </w:t>
      </w:r>
      <w:r w:rsidRPr="007A2A04">
        <w:t xml:space="preserve">COGITI </w:t>
      </w:r>
      <w:r>
        <w:t xml:space="preserve">no emite una resolución expresa. La contestación a la solicitud  se efectúa mediante un correo electrónico que no incluye pie de recurso, </w:t>
      </w:r>
      <w:r w:rsidRPr="00330EC6">
        <w:t>carec</w:t>
      </w:r>
      <w:r>
        <w:t>i</w:t>
      </w:r>
      <w:r w:rsidRPr="00330EC6">
        <w:t>e</w:t>
      </w:r>
      <w:r>
        <w:t xml:space="preserve">ndo en consecuencia, </w:t>
      </w:r>
      <w:r w:rsidRPr="00330EC6">
        <w:t xml:space="preserve">de información sobre los medios de impugnación en caso de disconformidad con la respuesta proporcionada, cuestión sobre la que tampoco se informa en el Portal de Transparencia de la entidad.  </w:t>
      </w:r>
    </w:p>
    <w:p w:rsidR="007A2A04" w:rsidRDefault="007A2A04" w:rsidP="007A2A04">
      <w:pPr>
        <w:pStyle w:val="Prrafodelista"/>
        <w:ind w:left="426"/>
        <w:jc w:val="both"/>
      </w:pPr>
    </w:p>
    <w:p w:rsidR="007A2A04" w:rsidRDefault="007A2A04" w:rsidP="007A2A04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jc w:val="both"/>
      </w:pPr>
      <w:r>
        <w:lastRenderedPageBreak/>
        <w:t xml:space="preserve">Aunque el volumen de datos relativos a una información solicitada al amparo de la LTAIBG tenga escasa entidad y se considere más ágil proporcionar la información directamente mediante un correo electrónico, el </w:t>
      </w:r>
      <w:r w:rsidRPr="007A2A04">
        <w:t xml:space="preserve">COGITI </w:t>
      </w:r>
      <w:r>
        <w:t xml:space="preserve">debería de ajustarse al procedimiento establecido y emitir una resolución expresa – no es suficiente un correo electrónico proporcionando la información - que indique los recursos que contra la misma procedan, órgano administrativo o judicial ante el que presentarlos y el plazo para interponerlos. </w:t>
      </w:r>
    </w:p>
    <w:p w:rsidR="007A2A04" w:rsidRDefault="007A2A04" w:rsidP="007A2A04">
      <w:pPr>
        <w:pStyle w:val="Prrafodelista"/>
        <w:tabs>
          <w:tab w:val="left" w:pos="426"/>
        </w:tabs>
        <w:ind w:left="426"/>
        <w:jc w:val="both"/>
      </w:pPr>
    </w:p>
    <w:p w:rsidR="007A2A04" w:rsidRDefault="007A2A04" w:rsidP="007A2A04">
      <w:pPr>
        <w:pStyle w:val="Prrafodelista"/>
        <w:tabs>
          <w:tab w:val="left" w:pos="426"/>
        </w:tabs>
        <w:ind w:left="426"/>
        <w:jc w:val="both"/>
      </w:pPr>
      <w:r w:rsidRPr="00E5750D">
        <w:t xml:space="preserve">Por otra parte </w:t>
      </w:r>
      <w:r>
        <w:t>el contenido del correo remitido no se corresponde con la información solicitada, lo que parece indicar  que no se identifican con claridad las solicitudes de acceso a información pública efectuadas al amparo de la LTAIBG. También puede deducirse que no existe un registro específico para las solicitudes de acceso a información pública.</w:t>
      </w:r>
    </w:p>
    <w:p w:rsidR="007A2A04" w:rsidRDefault="007A2A04" w:rsidP="007A2A04">
      <w:pPr>
        <w:pStyle w:val="Prrafodelista"/>
        <w:tabs>
          <w:tab w:val="left" w:pos="426"/>
        </w:tabs>
        <w:ind w:left="426"/>
        <w:jc w:val="both"/>
      </w:pPr>
    </w:p>
    <w:p w:rsidR="007A2A04" w:rsidRDefault="007A2A04" w:rsidP="007A2A04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120" w:after="120"/>
        <w:ind w:left="425"/>
        <w:jc w:val="both"/>
      </w:pPr>
      <w:r>
        <w:t>Aunque en términos comparativos las solicitudes de información al amparo de la LTAIBG tengan escaso peso en la actividad del CG, se debería habilitar mecanismos que permitan a las personas responsables de su gestión identificarlas y diferenciarlas de otras solicitudes de información, por ejemplo mediante un registro específico y proporcionando formación a las personas que han de tramitarlas.</w:t>
      </w:r>
    </w:p>
    <w:p w:rsidR="00B40246" w:rsidRDefault="00B40246" w:rsidP="007A2A04">
      <w:pPr>
        <w:pStyle w:val="Prrafodelista"/>
        <w:spacing w:before="120" w:after="120"/>
        <w:ind w:left="709"/>
        <w:contextualSpacing w:val="0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A6" w:rsidRDefault="005E20A6" w:rsidP="00932008">
      <w:pPr>
        <w:spacing w:after="0" w:line="240" w:lineRule="auto"/>
      </w:pPr>
      <w:r>
        <w:separator/>
      </w:r>
    </w:p>
  </w:endnote>
  <w:endnote w:type="continuationSeparator" w:id="0">
    <w:p w:rsidR="005E20A6" w:rsidRDefault="005E20A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E20A6" w:rsidRPr="00C533E7" w:rsidRDefault="005E20A6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D7EBC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5E20A6" w:rsidRDefault="005E20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A6" w:rsidRDefault="005E20A6" w:rsidP="00932008">
      <w:pPr>
        <w:spacing w:after="0" w:line="240" w:lineRule="auto"/>
      </w:pPr>
      <w:r>
        <w:separator/>
      </w:r>
    </w:p>
  </w:footnote>
  <w:footnote w:type="continuationSeparator" w:id="0">
    <w:p w:rsidR="005E20A6" w:rsidRDefault="005E20A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9pt;height:9pt" o:bullet="t">
        <v:imagedata r:id="rId1" o:title="BD14533_"/>
      </v:shape>
    </w:pict>
  </w:numPicBullet>
  <w:numPicBullet w:numPicBulletId="1">
    <w:pict>
      <v:shape id="_x0000_i1116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7768E"/>
    <w:rsid w:val="000965B3"/>
    <w:rsid w:val="000A1C07"/>
    <w:rsid w:val="000B0A0D"/>
    <w:rsid w:val="000B2A81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2D90"/>
    <w:rsid w:val="001561A4"/>
    <w:rsid w:val="00161466"/>
    <w:rsid w:val="001763C8"/>
    <w:rsid w:val="00176A94"/>
    <w:rsid w:val="00193DE5"/>
    <w:rsid w:val="00194000"/>
    <w:rsid w:val="001A7273"/>
    <w:rsid w:val="001B3D6A"/>
    <w:rsid w:val="001B4764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45AD"/>
    <w:rsid w:val="00334115"/>
    <w:rsid w:val="00340559"/>
    <w:rsid w:val="00343EEF"/>
    <w:rsid w:val="00354DD8"/>
    <w:rsid w:val="0039316A"/>
    <w:rsid w:val="003B5288"/>
    <w:rsid w:val="003C239E"/>
    <w:rsid w:val="003C4C27"/>
    <w:rsid w:val="003F271E"/>
    <w:rsid w:val="003F572A"/>
    <w:rsid w:val="00400B8F"/>
    <w:rsid w:val="0040488C"/>
    <w:rsid w:val="00497416"/>
    <w:rsid w:val="004A123A"/>
    <w:rsid w:val="004A133A"/>
    <w:rsid w:val="004A706B"/>
    <w:rsid w:val="004B4DC3"/>
    <w:rsid w:val="004D6E73"/>
    <w:rsid w:val="004F13AC"/>
    <w:rsid w:val="004F2655"/>
    <w:rsid w:val="004F6CA8"/>
    <w:rsid w:val="00530405"/>
    <w:rsid w:val="00531D64"/>
    <w:rsid w:val="005446A8"/>
    <w:rsid w:val="00553508"/>
    <w:rsid w:val="00561402"/>
    <w:rsid w:val="0057532F"/>
    <w:rsid w:val="00595AAF"/>
    <w:rsid w:val="005A0354"/>
    <w:rsid w:val="005B1F0E"/>
    <w:rsid w:val="005B3C15"/>
    <w:rsid w:val="005E20A6"/>
    <w:rsid w:val="005E37C8"/>
    <w:rsid w:val="005F62F6"/>
    <w:rsid w:val="00610D8A"/>
    <w:rsid w:val="00621C42"/>
    <w:rsid w:val="00626819"/>
    <w:rsid w:val="0063118A"/>
    <w:rsid w:val="00654162"/>
    <w:rsid w:val="006A2766"/>
    <w:rsid w:val="006A2E9A"/>
    <w:rsid w:val="006B49DC"/>
    <w:rsid w:val="006D7EBC"/>
    <w:rsid w:val="006E496D"/>
    <w:rsid w:val="00706E04"/>
    <w:rsid w:val="00707CFE"/>
    <w:rsid w:val="00710031"/>
    <w:rsid w:val="00727BA2"/>
    <w:rsid w:val="00741849"/>
    <w:rsid w:val="00743756"/>
    <w:rsid w:val="0075252B"/>
    <w:rsid w:val="007736E3"/>
    <w:rsid w:val="007A2A04"/>
    <w:rsid w:val="007B0F99"/>
    <w:rsid w:val="007B1EF0"/>
    <w:rsid w:val="007C57AB"/>
    <w:rsid w:val="007C5F74"/>
    <w:rsid w:val="007D6B40"/>
    <w:rsid w:val="007E3B8C"/>
    <w:rsid w:val="007E49A6"/>
    <w:rsid w:val="008044FB"/>
    <w:rsid w:val="00815659"/>
    <w:rsid w:val="008207D9"/>
    <w:rsid w:val="00833900"/>
    <w:rsid w:val="00844FA9"/>
    <w:rsid w:val="00863EFB"/>
    <w:rsid w:val="008877F9"/>
    <w:rsid w:val="008B50E2"/>
    <w:rsid w:val="008C1E1E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76F97"/>
    <w:rsid w:val="00983919"/>
    <w:rsid w:val="009D0652"/>
    <w:rsid w:val="009F4D42"/>
    <w:rsid w:val="00A41DD5"/>
    <w:rsid w:val="00A544D3"/>
    <w:rsid w:val="00A73805"/>
    <w:rsid w:val="00A8003E"/>
    <w:rsid w:val="00A915A2"/>
    <w:rsid w:val="00AB4742"/>
    <w:rsid w:val="00AC65ED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CD34CF"/>
    <w:rsid w:val="00D02AF3"/>
    <w:rsid w:val="00D41FBA"/>
    <w:rsid w:val="00D445A7"/>
    <w:rsid w:val="00D52E43"/>
    <w:rsid w:val="00D74E79"/>
    <w:rsid w:val="00D84B7B"/>
    <w:rsid w:val="00D93A14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72994"/>
    <w:rsid w:val="00EB6872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83C1B"/>
    <w:rsid w:val="002A5B0E"/>
    <w:rsid w:val="002C1748"/>
    <w:rsid w:val="002C7AFA"/>
    <w:rsid w:val="003D088C"/>
    <w:rsid w:val="004E1E02"/>
    <w:rsid w:val="00543A52"/>
    <w:rsid w:val="00546DCA"/>
    <w:rsid w:val="005A5303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82CF0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34253-6E80-4CE2-A08E-81C45641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23</TotalTime>
  <Pages>4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2021-10-05T07:16:00Z</dcterms:created>
  <dcterms:modified xsi:type="dcterms:W3CDTF">2021-10-18T11:33:00Z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