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47ADC"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0AEBE15C" wp14:editId="16312CA3">
                <wp:simplePos x="0" y="0"/>
                <wp:positionH relativeFrom="column">
                  <wp:posOffset>352425</wp:posOffset>
                </wp:positionH>
                <wp:positionV relativeFrom="paragraph">
                  <wp:posOffset>182880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D670FA" w:rsidRPr="00006957" w:rsidRDefault="00D670F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2A2E82" w:rsidRPr="00006957" w:rsidRDefault="002A2E8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670FA" w:rsidRDefault="00D670F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A2E82" w:rsidRDefault="002A2E8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Entidad evaluada</w:t>
            </w:r>
          </w:p>
        </w:tc>
        <w:tc>
          <w:tcPr>
            <w:tcW w:w="6954" w:type="dxa"/>
          </w:tcPr>
          <w:p w:rsidR="00A47ADC" w:rsidRPr="00CB5511" w:rsidRDefault="00764AC1" w:rsidP="002A2E82">
            <w:pPr>
              <w:rPr>
                <w:sz w:val="24"/>
                <w:szCs w:val="24"/>
              </w:rPr>
            </w:pPr>
            <w:r>
              <w:rPr>
                <w:sz w:val="24"/>
                <w:szCs w:val="24"/>
              </w:rPr>
              <w:t>Consejo General de Habilitados de Clases Pasivas</w:t>
            </w:r>
          </w:p>
        </w:tc>
      </w:tr>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Fecha de la evaluación</w:t>
            </w:r>
          </w:p>
        </w:tc>
        <w:tc>
          <w:tcPr>
            <w:tcW w:w="6954" w:type="dxa"/>
          </w:tcPr>
          <w:p w:rsidR="00A47ADC" w:rsidRPr="00CB5511" w:rsidRDefault="00BC5874" w:rsidP="00BC5874">
            <w:pPr>
              <w:rPr>
                <w:sz w:val="24"/>
                <w:szCs w:val="24"/>
              </w:rPr>
            </w:pPr>
            <w:r>
              <w:rPr>
                <w:sz w:val="24"/>
                <w:szCs w:val="24"/>
              </w:rPr>
              <w:t>30</w:t>
            </w:r>
            <w:r w:rsidR="00A47ADC">
              <w:rPr>
                <w:sz w:val="24"/>
                <w:szCs w:val="24"/>
              </w:rPr>
              <w:t>/0</w:t>
            </w:r>
            <w:r>
              <w:rPr>
                <w:sz w:val="24"/>
                <w:szCs w:val="24"/>
              </w:rPr>
              <w:t>6</w:t>
            </w:r>
            <w:r w:rsidR="00A47ADC">
              <w:rPr>
                <w:sz w:val="24"/>
                <w:szCs w:val="24"/>
              </w:rPr>
              <w:t>/2021</w:t>
            </w:r>
          </w:p>
        </w:tc>
      </w:tr>
    </w:tbl>
    <w:p w:rsidR="0039794E" w:rsidRDefault="0039794E"/>
    <w:p w:rsidR="00A47ADC" w:rsidRDefault="00A47ADC"/>
    <w:p w:rsidR="00561402" w:rsidRPr="0012783F" w:rsidRDefault="00504C52">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E857EA" w:rsidRDefault="00E857EA" w:rsidP="00A47ADC">
      <w:pPr>
        <w:ind w:left="284"/>
        <w:jc w:val="both"/>
      </w:pPr>
    </w:p>
    <w:p w:rsidR="003301B4" w:rsidRDefault="00504C52" w:rsidP="00A47ADC">
      <w:pPr>
        <w:ind w:left="284"/>
        <w:jc w:val="both"/>
      </w:pPr>
      <w:r w:rsidRPr="00504C52">
        <w:t>No se ha remitido información.</w:t>
      </w:r>
    </w:p>
    <w:p w:rsidR="00A945B5" w:rsidRDefault="00A945B5" w:rsidP="00A47ADC">
      <w:pPr>
        <w:jc w:val="both"/>
      </w:pPr>
    </w:p>
    <w:p w:rsidR="00B812AB" w:rsidRPr="00C52E57" w:rsidRDefault="00504C52" w:rsidP="00A47ADC">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C52E57">
            <w:rPr>
              <w:b/>
              <w:color w:val="00642D"/>
              <w:sz w:val="30"/>
              <w:szCs w:val="30"/>
            </w:rPr>
            <w:t>II. Actividad generada en 2020 por las solicitudes de acceso a información pública</w:t>
          </w:r>
          <w:r w:rsidR="00A47ADC" w:rsidRPr="00C52E57">
            <w:rPr>
              <w:b/>
              <w:color w:val="00642D"/>
              <w:sz w:val="30"/>
              <w:szCs w:val="30"/>
            </w:rPr>
            <w:t xml:space="preserve"> </w:t>
          </w:r>
        </w:sdtContent>
      </w:sdt>
    </w:p>
    <w:p w:rsidR="00E857EA" w:rsidRPr="002A2E82" w:rsidRDefault="00E857EA" w:rsidP="00A47ADC">
      <w:pPr>
        <w:pStyle w:val="Cuerpodelboletn"/>
        <w:spacing w:before="120" w:after="120" w:line="312" w:lineRule="auto"/>
        <w:ind w:left="360"/>
        <w:rPr>
          <w:rStyle w:val="Ttulo2Car"/>
          <w:color w:val="00642D"/>
          <w:highlight w:val="yellow"/>
          <w:lang w:bidi="es-ES"/>
        </w:rPr>
      </w:pPr>
    </w:p>
    <w:p w:rsidR="00C52E57" w:rsidRDefault="00504C52" w:rsidP="00A47ADC">
      <w:pPr>
        <w:pStyle w:val="Cuerpodelboletn"/>
        <w:spacing w:before="120" w:after="120" w:line="276" w:lineRule="auto"/>
        <w:ind w:left="426"/>
        <w:rPr>
          <w:rStyle w:val="Ttulo2Car"/>
          <w:b w:val="0"/>
          <w:color w:val="auto"/>
          <w:sz w:val="22"/>
          <w:szCs w:val="22"/>
          <w:lang w:bidi="es-ES"/>
        </w:rPr>
      </w:pPr>
      <w:r w:rsidRPr="00504C52">
        <w:rPr>
          <w:rStyle w:val="Ttulo2Car"/>
          <w:b w:val="0"/>
          <w:color w:val="auto"/>
          <w:sz w:val="22"/>
          <w:szCs w:val="22"/>
          <w:lang w:bidi="es-ES"/>
        </w:rPr>
        <w:t>No se ha remitido información.</w:t>
      </w:r>
    </w:p>
    <w:p w:rsidR="00E857EA" w:rsidRPr="002A2E82" w:rsidRDefault="00D670FA" w:rsidP="00A47ADC">
      <w:pPr>
        <w:pStyle w:val="Cuerpodelboletn"/>
        <w:spacing w:before="120" w:after="120" w:line="276" w:lineRule="auto"/>
        <w:ind w:left="426"/>
        <w:rPr>
          <w:rStyle w:val="Ttulo2Car"/>
          <w:b w:val="0"/>
          <w:color w:val="auto"/>
          <w:sz w:val="22"/>
          <w:szCs w:val="22"/>
          <w:highlight w:val="yellow"/>
          <w:lang w:bidi="es-ES"/>
        </w:rPr>
      </w:pPr>
      <w:r w:rsidRPr="00D670FA">
        <w:rPr>
          <w:rStyle w:val="Ttulo2Car"/>
          <w:b w:val="0"/>
          <w:color w:val="auto"/>
          <w:sz w:val="22"/>
          <w:szCs w:val="22"/>
          <w:lang w:bidi="es-ES"/>
        </w:rPr>
        <w:t xml:space="preserve">Por otra parte, no se ha localizado en la web del CGCOHCP información sobre las solicitudes denegadas por aplicación de los límites del artículo 14 de la LTAIBG.  </w:t>
      </w:r>
    </w:p>
    <w:p w:rsidR="00E857EA" w:rsidRPr="002A2E82" w:rsidRDefault="00E857EA" w:rsidP="00A47ADC">
      <w:pPr>
        <w:pStyle w:val="Cuerpodelboletn"/>
        <w:spacing w:before="120" w:after="120" w:line="276" w:lineRule="auto"/>
        <w:ind w:left="426"/>
        <w:rPr>
          <w:rStyle w:val="Ttulo2Car"/>
          <w:b w:val="0"/>
          <w:color w:val="auto"/>
          <w:sz w:val="22"/>
          <w:szCs w:val="22"/>
          <w:highlight w:val="yellow"/>
          <w:lang w:bidi="es-ES"/>
        </w:rPr>
      </w:pPr>
    </w:p>
    <w:p w:rsidR="00B812AB" w:rsidRPr="00E34195" w:rsidRDefault="00504C52"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A47ADC">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F4648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El </w:t>
      </w:r>
      <w:r w:rsidR="00BC5874" w:rsidRPr="00BC5874">
        <w:t xml:space="preserve">CGCOHCP </w:t>
      </w:r>
      <w:r>
        <w:rPr>
          <w:rStyle w:val="Ttulo2Car"/>
          <w:b w:val="0"/>
          <w:color w:val="auto"/>
          <w:sz w:val="22"/>
          <w:szCs w:val="22"/>
          <w:lang w:bidi="es-ES"/>
        </w:rPr>
        <w:t>ha habilitado un</w:t>
      </w:r>
      <w:r w:rsidRPr="00A26009">
        <w:rPr>
          <w:rStyle w:val="Ttulo2Car"/>
          <w:b w:val="0"/>
          <w:color w:val="auto"/>
          <w:sz w:val="22"/>
          <w:szCs w:val="22"/>
          <w:lang w:bidi="es-ES"/>
        </w:rPr>
        <w:t xml:space="preserve"> espacio específico </w:t>
      </w:r>
      <w:r>
        <w:rPr>
          <w:rStyle w:val="Ttulo2Car"/>
          <w:b w:val="0"/>
          <w:color w:val="auto"/>
          <w:sz w:val="22"/>
          <w:szCs w:val="22"/>
          <w:lang w:bidi="es-ES"/>
        </w:rPr>
        <w:t>e</w:t>
      </w:r>
      <w:r w:rsidRPr="00526089">
        <w:rPr>
          <w:rStyle w:val="Ttulo2Car"/>
          <w:b w:val="0"/>
          <w:color w:val="auto"/>
          <w:sz w:val="22"/>
          <w:szCs w:val="22"/>
          <w:lang w:bidi="es-ES"/>
        </w:rPr>
        <w:t>n el Portal de Transparencia</w:t>
      </w:r>
      <w:r w:rsidR="00AD6EC5">
        <w:rPr>
          <w:rStyle w:val="Ttulo2Car"/>
          <w:b w:val="0"/>
          <w:color w:val="auto"/>
          <w:sz w:val="22"/>
          <w:szCs w:val="22"/>
          <w:lang w:bidi="es-ES"/>
        </w:rPr>
        <w:t xml:space="preserve"> destinado</w:t>
      </w:r>
      <w:r>
        <w:rPr>
          <w:rStyle w:val="Ttulo2Car"/>
          <w:b w:val="0"/>
          <w:color w:val="auto"/>
          <w:sz w:val="22"/>
          <w:szCs w:val="22"/>
          <w:lang w:bidi="es-ES"/>
        </w:rPr>
        <w:t xml:space="preserve"> al ejercicio del derecho de </w:t>
      </w:r>
      <w:r w:rsidR="00C562D3">
        <w:rPr>
          <w:rStyle w:val="Ttulo2Car"/>
          <w:b w:val="0"/>
          <w:color w:val="auto"/>
          <w:sz w:val="22"/>
          <w:szCs w:val="22"/>
          <w:lang w:bidi="es-ES"/>
        </w:rPr>
        <w:t>acceso a la información pública y al que se accede a través del apartado</w:t>
      </w:r>
      <w:r w:rsidR="00A47ADC">
        <w:rPr>
          <w:rStyle w:val="Ttulo2Car"/>
          <w:b w:val="0"/>
          <w:color w:val="auto"/>
          <w:sz w:val="22"/>
          <w:szCs w:val="22"/>
          <w:lang w:bidi="es-ES"/>
        </w:rPr>
        <w:t xml:space="preserve"> </w:t>
      </w:r>
      <w:r w:rsidR="00C562D3">
        <w:rPr>
          <w:rStyle w:val="Ttulo2Car"/>
          <w:b w:val="0"/>
          <w:color w:val="auto"/>
          <w:sz w:val="22"/>
          <w:szCs w:val="22"/>
          <w:lang w:bidi="es-ES"/>
        </w:rPr>
        <w:t>“</w:t>
      </w:r>
      <w:r w:rsidR="00BC5874">
        <w:rPr>
          <w:rStyle w:val="Ttulo2Car"/>
          <w:b w:val="0"/>
          <w:color w:val="auto"/>
          <w:sz w:val="22"/>
          <w:szCs w:val="22"/>
          <w:lang w:bidi="es-ES"/>
        </w:rPr>
        <w:t>Derecho de acceso</w:t>
      </w:r>
      <w:r w:rsidR="00C562D3">
        <w:rPr>
          <w:rStyle w:val="Ttulo2Car"/>
          <w:b w:val="0"/>
          <w:color w:val="auto"/>
          <w:sz w:val="22"/>
          <w:szCs w:val="22"/>
          <w:lang w:bidi="es-ES"/>
        </w:rPr>
        <w:t>”</w:t>
      </w:r>
      <w:r w:rsidR="00BC5874">
        <w:rPr>
          <w:rStyle w:val="Ttulo2Car"/>
          <w:b w:val="0"/>
          <w:color w:val="auto"/>
          <w:sz w:val="22"/>
          <w:szCs w:val="22"/>
          <w:lang w:bidi="es-ES"/>
        </w:rPr>
        <w:t>.</w:t>
      </w:r>
      <w:r w:rsidR="00BC5874" w:rsidRPr="00BC5874">
        <w:t xml:space="preserve"> </w:t>
      </w:r>
      <w:r w:rsidR="00BC5874" w:rsidRPr="00BC5874">
        <w:rPr>
          <w:rStyle w:val="Ttulo2Car"/>
          <w:b w:val="0"/>
          <w:color w:val="auto"/>
          <w:sz w:val="22"/>
          <w:szCs w:val="22"/>
          <w:lang w:bidi="es-ES"/>
        </w:rPr>
        <w:t>Este espacio ha sido creado recientemente ya que cuando se efectuó la revisión del cumplimiento de las obligaciones de publicidad activa no existía.</w:t>
      </w:r>
    </w:p>
    <w:p w:rsidR="00F4648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lastRenderedPageBreak/>
        <w:t>En este espacio se hace referencia expresa a</w:t>
      </w:r>
      <w:r w:rsidRPr="00A26009">
        <w:rPr>
          <w:rStyle w:val="Ttulo2Car"/>
          <w:b w:val="0"/>
          <w:color w:val="auto"/>
          <w:sz w:val="22"/>
          <w:szCs w:val="22"/>
          <w:lang w:bidi="es-ES"/>
        </w:rPr>
        <w:t xml:space="preserve"> la posibilidad </w:t>
      </w:r>
      <w:r>
        <w:rPr>
          <w:rStyle w:val="Ttulo2Car"/>
          <w:b w:val="0"/>
          <w:color w:val="auto"/>
          <w:sz w:val="22"/>
          <w:szCs w:val="22"/>
          <w:lang w:bidi="es-ES"/>
        </w:rPr>
        <w:t xml:space="preserve">que tiene la ciudadanía </w:t>
      </w:r>
      <w:r w:rsidRPr="00A26009">
        <w:rPr>
          <w:rStyle w:val="Ttulo2Car"/>
          <w:b w:val="0"/>
          <w:color w:val="auto"/>
          <w:sz w:val="22"/>
          <w:szCs w:val="22"/>
          <w:lang w:bidi="es-ES"/>
        </w:rPr>
        <w:t>de solicitar información pública de acuerdo con la Ley de Transparencia</w:t>
      </w:r>
      <w:r>
        <w:rPr>
          <w:rStyle w:val="Ttulo2Car"/>
          <w:b w:val="0"/>
          <w:color w:val="auto"/>
          <w:sz w:val="22"/>
          <w:szCs w:val="22"/>
          <w:lang w:bidi="es-ES"/>
        </w:rPr>
        <w:t>.</w:t>
      </w:r>
    </w:p>
    <w:p w:rsidR="00F46483" w:rsidRDefault="00BC5874"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También se indica que se ha habilitado el correo </w:t>
      </w:r>
      <w:hyperlink r:id="rId12" w:history="1">
        <w:r w:rsidRPr="00A21CAF">
          <w:rPr>
            <w:rStyle w:val="Hipervnculo"/>
            <w:rFonts w:eastAsiaTheme="majorEastAsia" w:cstheme="majorBidi"/>
            <w:lang w:bidi="es-ES"/>
          </w:rPr>
          <w:t>delegadoprotecciondatos@habilitados.org</w:t>
        </w:r>
      </w:hyperlink>
      <w:r>
        <w:rPr>
          <w:rStyle w:val="Ttulo2Car"/>
          <w:b w:val="0"/>
          <w:color w:val="auto"/>
          <w:sz w:val="22"/>
          <w:szCs w:val="22"/>
          <w:lang w:bidi="es-ES"/>
        </w:rPr>
        <w:t xml:space="preserve"> para la presentación de solicitudes.</w:t>
      </w:r>
    </w:p>
    <w:p w:rsidR="00F46483" w:rsidRDefault="00BC5874"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No</w:t>
      </w:r>
      <w:r w:rsidR="00F46483">
        <w:rPr>
          <w:rStyle w:val="Ttulo2Car"/>
          <w:b w:val="0"/>
          <w:color w:val="auto"/>
          <w:sz w:val="22"/>
          <w:szCs w:val="22"/>
          <w:lang w:bidi="es-ES"/>
        </w:rPr>
        <w:t xml:space="preserve"> se informa sobre los requisitos establecidos para la presentación de las solicitudes</w:t>
      </w:r>
      <w:r>
        <w:rPr>
          <w:rStyle w:val="Ttulo2Car"/>
          <w:b w:val="0"/>
          <w:color w:val="auto"/>
          <w:sz w:val="22"/>
          <w:szCs w:val="22"/>
          <w:lang w:bidi="es-ES"/>
        </w:rPr>
        <w:t xml:space="preserve"> ni se proporciona información adicional relativa al procedimiento o instrucciones </w:t>
      </w:r>
      <w:r w:rsidR="00F46483" w:rsidRPr="00B33F33">
        <w:rPr>
          <w:rStyle w:val="Ttulo2Car"/>
          <w:b w:val="0"/>
          <w:color w:val="auto"/>
          <w:sz w:val="22"/>
          <w:szCs w:val="22"/>
          <w:lang w:bidi="es-ES"/>
        </w:rPr>
        <w:t>sobre la manera de pr</w:t>
      </w:r>
      <w:r w:rsidR="00F46483">
        <w:rPr>
          <w:rStyle w:val="Ttulo2Car"/>
          <w:b w:val="0"/>
          <w:color w:val="auto"/>
          <w:sz w:val="22"/>
          <w:szCs w:val="22"/>
          <w:lang w:bidi="es-ES"/>
        </w:rPr>
        <w:t>oceder para ejercer el derecho.</w:t>
      </w:r>
      <w:r w:rsidR="00E857EA">
        <w:rPr>
          <w:rStyle w:val="Ttulo2Car"/>
          <w:b w:val="0"/>
          <w:color w:val="auto"/>
          <w:sz w:val="22"/>
          <w:szCs w:val="22"/>
          <w:lang w:bidi="es-ES"/>
        </w:rPr>
        <w:t xml:space="preserve"> </w:t>
      </w:r>
    </w:p>
    <w:p w:rsidR="00D670FA" w:rsidRDefault="00D670FA" w:rsidP="00A47ADC">
      <w:pPr>
        <w:spacing w:before="120" w:after="120" w:line="312" w:lineRule="auto"/>
        <w:ind w:left="425"/>
        <w:jc w:val="both"/>
      </w:pPr>
    </w:p>
    <w:p w:rsidR="00B40246" w:rsidRPr="00E34195" w:rsidRDefault="00504C5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Inicio del procedimiento</w:t>
      </w:r>
      <w:r w:rsidRPr="00B25CC7">
        <w:rPr>
          <w:color w:val="auto"/>
          <w:lang w:bidi="es-ES"/>
        </w:rPr>
        <w:t xml:space="preserve">. </w:t>
      </w:r>
    </w:p>
    <w:p w:rsidR="00E857EA" w:rsidRPr="00B25CC7" w:rsidRDefault="00E857EA" w:rsidP="00A47ADC">
      <w:pPr>
        <w:pStyle w:val="Cuerpodelboletn"/>
        <w:spacing w:before="120" w:after="120" w:line="312" w:lineRule="auto"/>
        <w:ind w:left="425"/>
        <w:rPr>
          <w:color w:val="auto"/>
          <w:lang w:bidi="es-ES"/>
        </w:rPr>
      </w:pPr>
    </w:p>
    <w:p w:rsidR="00F46483" w:rsidRDefault="00F46483" w:rsidP="00A47ADC">
      <w:pPr>
        <w:pStyle w:val="Cuerpodelboletn"/>
        <w:spacing w:before="120" w:after="120" w:line="312" w:lineRule="auto"/>
        <w:ind w:left="425"/>
        <w:rPr>
          <w:color w:val="auto"/>
          <w:lang w:bidi="es-ES"/>
        </w:rPr>
      </w:pPr>
      <w:r w:rsidRPr="00B25CC7">
        <w:rPr>
          <w:color w:val="auto"/>
          <w:lang w:bidi="es-ES"/>
        </w:rPr>
        <w:t xml:space="preserve">Con fecha </w:t>
      </w:r>
      <w:r w:rsidR="00D670FA">
        <w:rPr>
          <w:color w:val="auto"/>
          <w:lang w:bidi="es-ES"/>
        </w:rPr>
        <w:t>30</w:t>
      </w:r>
      <w:r w:rsidR="00B25CC7">
        <w:rPr>
          <w:color w:val="auto"/>
          <w:lang w:bidi="es-ES"/>
        </w:rPr>
        <w:t>/0</w:t>
      </w:r>
      <w:r w:rsidR="00D670FA">
        <w:rPr>
          <w:color w:val="auto"/>
          <w:lang w:bidi="es-ES"/>
        </w:rPr>
        <w:t>6</w:t>
      </w:r>
      <w:r w:rsidRPr="00B25CC7">
        <w:rPr>
          <w:color w:val="auto"/>
          <w:lang w:bidi="es-ES"/>
        </w:rPr>
        <w:t xml:space="preserve">/2021 se presentó </w:t>
      </w:r>
      <w:r w:rsidR="00B25CC7">
        <w:rPr>
          <w:color w:val="auto"/>
          <w:lang w:bidi="es-ES"/>
        </w:rPr>
        <w:t>mediante correo electrónico</w:t>
      </w:r>
      <w:r w:rsidR="00E857EA" w:rsidRPr="00B25CC7">
        <w:rPr>
          <w:color w:val="auto"/>
          <w:lang w:bidi="es-ES"/>
        </w:rPr>
        <w:t xml:space="preserve"> </w:t>
      </w:r>
      <w:r w:rsidRPr="00B25CC7">
        <w:rPr>
          <w:color w:val="auto"/>
          <w:lang w:bidi="es-ES"/>
        </w:rPr>
        <w:t xml:space="preserve">una solicitud de acceso a información pública dirigida </w:t>
      </w:r>
      <w:r w:rsidR="00C562D3" w:rsidRPr="00B25CC7">
        <w:rPr>
          <w:color w:val="auto"/>
          <w:lang w:bidi="es-ES"/>
        </w:rPr>
        <w:t xml:space="preserve">al </w:t>
      </w:r>
      <w:r w:rsidR="00BC5874" w:rsidRPr="00BC5874">
        <w:rPr>
          <w:color w:val="auto"/>
          <w:lang w:bidi="es-ES"/>
        </w:rPr>
        <w:t>CGCOHCP</w:t>
      </w:r>
      <w:r w:rsidRPr="00B25CC7">
        <w:rPr>
          <w:color w:val="auto"/>
          <w:lang w:bidi="es-ES"/>
        </w:rPr>
        <w:t xml:space="preserve">. </w:t>
      </w:r>
      <w:r w:rsidR="00B25CC7">
        <w:rPr>
          <w:color w:val="auto"/>
          <w:lang w:bidi="es-ES"/>
        </w:rPr>
        <w:t>No se emite</w:t>
      </w:r>
      <w:r w:rsidR="00E857EA" w:rsidRPr="00B25CC7">
        <w:rPr>
          <w:color w:val="auto"/>
          <w:lang w:bidi="es-ES"/>
        </w:rPr>
        <w:t xml:space="preserve"> </w:t>
      </w:r>
      <w:r w:rsidRPr="00B25CC7">
        <w:rPr>
          <w:color w:val="auto"/>
          <w:lang w:bidi="es-ES"/>
        </w:rPr>
        <w:t>acuse de recibo o comunicación al solicitante de la recepción</w:t>
      </w:r>
      <w:r w:rsidR="00E857EA" w:rsidRPr="00B25CC7">
        <w:rPr>
          <w:color w:val="auto"/>
          <w:lang w:bidi="es-ES"/>
        </w:rPr>
        <w:t xml:space="preserve"> de la solicitud de información</w:t>
      </w:r>
      <w:r w:rsidR="00B25CC7">
        <w:rPr>
          <w:color w:val="auto"/>
          <w:lang w:bidi="es-ES"/>
        </w:rPr>
        <w:t>.</w:t>
      </w:r>
      <w:r w:rsidR="00E857EA" w:rsidRPr="00B25CC7">
        <w:rPr>
          <w:color w:val="auto"/>
          <w:lang w:bidi="es-ES"/>
        </w:rPr>
        <w:t xml:space="preserve"> </w:t>
      </w:r>
    </w:p>
    <w:p w:rsidR="00B25CC7" w:rsidRPr="00B25CC7" w:rsidRDefault="00B25CC7" w:rsidP="00A47ADC">
      <w:pPr>
        <w:pStyle w:val="Cuerpodelboletn"/>
        <w:spacing w:before="120" w:after="120" w:line="312" w:lineRule="auto"/>
        <w:ind w:left="425"/>
        <w:rPr>
          <w:color w:val="auto"/>
          <w:lang w:bidi="es-ES"/>
        </w:rPr>
      </w:pPr>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Tramitación</w:t>
      </w:r>
    </w:p>
    <w:p w:rsidR="00E857EA" w:rsidRPr="00B25CC7" w:rsidRDefault="00E857EA" w:rsidP="00F46483">
      <w:pPr>
        <w:pStyle w:val="Cuerpodelboletn"/>
        <w:spacing w:before="120" w:after="120" w:line="312" w:lineRule="auto"/>
        <w:ind w:left="426"/>
        <w:rPr>
          <w:color w:val="auto"/>
          <w:lang w:bidi="es-ES"/>
        </w:rPr>
      </w:pPr>
    </w:p>
    <w:p w:rsidR="00F46483" w:rsidRPr="00B25CC7" w:rsidRDefault="00B25CC7" w:rsidP="00F46483">
      <w:pPr>
        <w:pStyle w:val="Cuerpodelboletn"/>
        <w:spacing w:before="120" w:after="120" w:line="312" w:lineRule="auto"/>
        <w:ind w:left="426"/>
        <w:rPr>
          <w:color w:val="auto"/>
          <w:lang w:bidi="es-ES"/>
        </w:rPr>
      </w:pPr>
      <w:r>
        <w:rPr>
          <w:color w:val="auto"/>
          <w:lang w:bidi="es-ES"/>
        </w:rPr>
        <w:t>No se comunica el inicio de la tramitación.</w:t>
      </w:r>
      <w:r w:rsidR="00131382" w:rsidRPr="00B25CC7">
        <w:rPr>
          <w:color w:val="auto"/>
          <w:lang w:bidi="es-ES"/>
        </w:rPr>
        <w:t xml:space="preserve"> </w:t>
      </w:r>
    </w:p>
    <w:p w:rsidR="00B25CC7" w:rsidRDefault="00B25CC7" w:rsidP="00F46483">
      <w:pPr>
        <w:pStyle w:val="Cuerpodelboletn"/>
        <w:spacing w:before="120" w:after="120" w:line="312" w:lineRule="auto"/>
        <w:ind w:left="426"/>
        <w:rPr>
          <w:rStyle w:val="Ttulo2Car"/>
          <w:sz w:val="22"/>
          <w:szCs w:val="22"/>
        </w:rPr>
      </w:pPr>
    </w:p>
    <w:p w:rsidR="00F46483" w:rsidRPr="00B25CC7" w:rsidRDefault="00F46483" w:rsidP="00F46483">
      <w:pPr>
        <w:pStyle w:val="Cuerpodelboletn"/>
        <w:spacing w:before="120" w:after="120" w:line="312" w:lineRule="auto"/>
        <w:ind w:left="426"/>
        <w:rPr>
          <w:rStyle w:val="Ttulo2Car"/>
          <w:sz w:val="22"/>
          <w:szCs w:val="22"/>
        </w:rPr>
      </w:pPr>
      <w:r w:rsidRPr="00B25CC7">
        <w:rPr>
          <w:rStyle w:val="Ttulo2Car"/>
          <w:sz w:val="22"/>
          <w:szCs w:val="22"/>
        </w:rPr>
        <w:t>Resolución</w:t>
      </w:r>
    </w:p>
    <w:p w:rsidR="00E857EA" w:rsidRPr="00B25CC7" w:rsidRDefault="00E857EA" w:rsidP="00F46483">
      <w:pPr>
        <w:pStyle w:val="Cuerpodelboletn"/>
        <w:spacing w:before="120" w:after="120" w:line="312" w:lineRule="auto"/>
        <w:ind w:left="426"/>
        <w:rPr>
          <w:color w:val="auto"/>
          <w:lang w:bidi="es-ES"/>
        </w:rPr>
      </w:pPr>
    </w:p>
    <w:p w:rsidR="00F46483" w:rsidRDefault="00B25CC7" w:rsidP="00D670FA">
      <w:pPr>
        <w:pStyle w:val="Cuerpodelboletn"/>
        <w:spacing w:before="120" w:after="120" w:line="312" w:lineRule="auto"/>
        <w:ind w:left="426"/>
        <w:rPr>
          <w:color w:val="auto"/>
          <w:lang w:bidi="es-ES"/>
        </w:rPr>
      </w:pPr>
      <w:r>
        <w:rPr>
          <w:color w:val="auto"/>
          <w:lang w:bidi="es-ES"/>
        </w:rPr>
        <w:t>No s</w:t>
      </w:r>
      <w:r w:rsidR="00F46483" w:rsidRPr="00B25CC7">
        <w:rPr>
          <w:color w:val="auto"/>
          <w:lang w:bidi="es-ES"/>
        </w:rPr>
        <w:t>e dicta resolución expresa</w:t>
      </w:r>
      <w:r>
        <w:rPr>
          <w:color w:val="auto"/>
          <w:lang w:bidi="es-ES"/>
        </w:rPr>
        <w:t>. C</w:t>
      </w:r>
      <w:r w:rsidR="00F46483" w:rsidRPr="00B25CC7">
        <w:rPr>
          <w:color w:val="auto"/>
          <w:lang w:bidi="es-ES"/>
        </w:rPr>
        <w:t xml:space="preserve">on fecha </w:t>
      </w:r>
      <w:r w:rsidR="00D670FA">
        <w:rPr>
          <w:color w:val="auto"/>
          <w:lang w:bidi="es-ES"/>
        </w:rPr>
        <w:t>09</w:t>
      </w:r>
      <w:r w:rsidR="00F46483" w:rsidRPr="00B25CC7">
        <w:rPr>
          <w:color w:val="auto"/>
          <w:lang w:bidi="es-ES"/>
        </w:rPr>
        <w:t>/0</w:t>
      </w:r>
      <w:r>
        <w:rPr>
          <w:color w:val="auto"/>
          <w:lang w:bidi="es-ES"/>
        </w:rPr>
        <w:t>7</w:t>
      </w:r>
      <w:r w:rsidR="00F46483" w:rsidRPr="00B25CC7">
        <w:rPr>
          <w:color w:val="auto"/>
          <w:lang w:bidi="es-ES"/>
        </w:rPr>
        <w:t>/2021</w:t>
      </w:r>
      <w:r w:rsidR="004E39A0" w:rsidRPr="00B25CC7">
        <w:rPr>
          <w:color w:val="auto"/>
          <w:lang w:bidi="es-ES"/>
        </w:rPr>
        <w:t xml:space="preserve"> </w:t>
      </w:r>
      <w:r>
        <w:rPr>
          <w:color w:val="auto"/>
          <w:lang w:bidi="es-ES"/>
        </w:rPr>
        <w:t xml:space="preserve">se remite un correo electrónico por parte del </w:t>
      </w:r>
      <w:r w:rsidR="00BC5874" w:rsidRPr="00BC5874">
        <w:rPr>
          <w:color w:val="auto"/>
          <w:lang w:bidi="es-ES"/>
        </w:rPr>
        <w:t>CGCOHCP</w:t>
      </w:r>
      <w:r>
        <w:rPr>
          <w:color w:val="auto"/>
          <w:lang w:bidi="es-ES"/>
        </w:rPr>
        <w:t>, en el que se indica que no ha habido actividad relativa a la información solicitada.</w:t>
      </w:r>
    </w:p>
    <w:p w:rsidR="00B25CC7" w:rsidRPr="00B25CC7" w:rsidRDefault="00B25CC7" w:rsidP="00B25CC7">
      <w:pPr>
        <w:pStyle w:val="Cuerpodelboletn"/>
        <w:spacing w:before="120" w:after="120" w:line="312" w:lineRule="auto"/>
        <w:ind w:left="1146"/>
        <w:rPr>
          <w:color w:val="auto"/>
          <w:lang w:bidi="es-ES"/>
        </w:rPr>
      </w:pPr>
    </w:p>
    <w:p w:rsidR="004D3DD1" w:rsidRPr="004D3DD1" w:rsidRDefault="004D3DD1" w:rsidP="004D3DD1">
      <w:pPr>
        <w:pStyle w:val="Cuerpodelboletn"/>
        <w:rPr>
          <w:b/>
          <w:color w:val="00642D"/>
          <w:sz w:val="30"/>
          <w:szCs w:val="30"/>
        </w:rPr>
      </w:pPr>
      <w:r w:rsidRPr="004D3DD1">
        <w:rPr>
          <w:b/>
          <w:color w:val="00642D"/>
          <w:sz w:val="30"/>
          <w:szCs w:val="30"/>
        </w:rPr>
        <w:t>V. Reclamaciones ante el Consejo de Transparencia y Buen Gobierno en el periodo 2015-2020</w:t>
      </w:r>
    </w:p>
    <w:p w:rsidR="004D3DD1" w:rsidRPr="004D3DD1" w:rsidRDefault="004D3DD1" w:rsidP="004D3DD1">
      <w:pPr>
        <w:pStyle w:val="Cuerpodelboletn"/>
        <w:spacing w:before="120" w:after="120" w:line="312" w:lineRule="auto"/>
        <w:rPr>
          <w:color w:val="auto"/>
          <w:lang w:bidi="es-ES"/>
        </w:rPr>
      </w:pPr>
    </w:p>
    <w:p w:rsidR="004D3DD1" w:rsidRPr="002A2E82" w:rsidRDefault="004D3DD1" w:rsidP="004D3DD1">
      <w:pPr>
        <w:pStyle w:val="Cuerpodelboletn"/>
        <w:spacing w:before="120" w:after="120" w:line="312" w:lineRule="auto"/>
        <w:ind w:left="426"/>
        <w:rPr>
          <w:color w:val="auto"/>
          <w:highlight w:val="yellow"/>
          <w:lang w:bidi="es-ES"/>
        </w:rPr>
      </w:pPr>
      <w:r w:rsidRPr="004D3DD1">
        <w:rPr>
          <w:color w:val="auto"/>
          <w:lang w:bidi="es-ES"/>
        </w:rPr>
        <w:t xml:space="preserve">El CTBG no ha recibido reclamaciones contra resoluciones del </w:t>
      </w:r>
      <w:r w:rsidR="00BC5874" w:rsidRPr="00BC5874">
        <w:rPr>
          <w:color w:val="auto"/>
          <w:lang w:bidi="es-ES"/>
        </w:rPr>
        <w:t xml:space="preserve">CGCOHCP </w:t>
      </w:r>
      <w:r w:rsidRPr="004D3DD1">
        <w:rPr>
          <w:color w:val="auto"/>
          <w:lang w:bidi="es-ES"/>
        </w:rPr>
        <w:t>en materia de acceso a la información pública.</w:t>
      </w:r>
    </w:p>
    <w:p w:rsidR="00E857EA" w:rsidRDefault="00E857EA" w:rsidP="00F46483"/>
    <w:p w:rsidR="00504C52" w:rsidRDefault="00504C52" w:rsidP="00F46483"/>
    <w:p w:rsidR="001F251B" w:rsidRPr="00256215" w:rsidRDefault="00504C52"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4D3DD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E857EA" w:rsidRDefault="00E857EA" w:rsidP="00A47ADC">
      <w:pPr>
        <w:spacing w:before="120" w:after="120" w:line="312" w:lineRule="auto"/>
        <w:ind w:left="426"/>
        <w:jc w:val="both"/>
      </w:pPr>
    </w:p>
    <w:p w:rsidR="007507B4" w:rsidRDefault="007507B4" w:rsidP="00A47ADC">
      <w:pPr>
        <w:spacing w:before="120" w:after="120" w:line="312" w:lineRule="auto"/>
        <w:ind w:left="426"/>
        <w:jc w:val="both"/>
      </w:pPr>
      <w:r>
        <w:t xml:space="preserve">La gestión del derecho de acceso a la información pública por parte del </w:t>
      </w:r>
      <w:r w:rsidR="00BC5874" w:rsidRPr="00BC5874">
        <w:t xml:space="preserve">CGCOHCP </w:t>
      </w:r>
      <w:r>
        <w:t>presenta un conjunto de buenas prácticas que podrían ser aplicadas por otras instituciones y organizaciones públicas. En este sentido cabe destacar:</w:t>
      </w:r>
    </w:p>
    <w:p w:rsidR="002A2E82" w:rsidRDefault="002A2E82" w:rsidP="00A47ADC">
      <w:pPr>
        <w:pStyle w:val="Prrafodelista"/>
        <w:numPr>
          <w:ilvl w:val="0"/>
          <w:numId w:val="5"/>
        </w:numPr>
        <w:spacing w:before="120" w:after="120" w:line="312" w:lineRule="auto"/>
        <w:ind w:left="1134"/>
        <w:contextualSpacing w:val="0"/>
        <w:jc w:val="both"/>
      </w:pPr>
      <w:r>
        <w:t>La disponibilidad de un espacio específico para el ejercicio del derecho</w:t>
      </w:r>
    </w:p>
    <w:p w:rsidR="00A47ADC" w:rsidRDefault="00A47ADC" w:rsidP="00D670FA">
      <w:pPr>
        <w:pStyle w:val="Prrafodelista"/>
        <w:spacing w:before="120" w:after="120" w:line="312" w:lineRule="auto"/>
        <w:ind w:left="1134"/>
        <w:contextualSpacing w:val="0"/>
        <w:jc w:val="both"/>
      </w:pPr>
    </w:p>
    <w:p w:rsidR="00256215" w:rsidRDefault="00504C52" w:rsidP="00A47ADC">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7507B4" w:rsidRDefault="007507B4" w:rsidP="00A47ADC">
      <w:pPr>
        <w:pStyle w:val="Prrafodelista"/>
        <w:spacing w:before="120" w:after="120" w:line="312" w:lineRule="auto"/>
        <w:ind w:left="426"/>
        <w:contextualSpacing w:val="0"/>
        <w:jc w:val="both"/>
        <w:rPr>
          <w:rStyle w:val="Ttulo2Car"/>
          <w:color w:val="00642D"/>
          <w:sz w:val="22"/>
          <w:szCs w:val="22"/>
          <w:lang w:bidi="es-ES"/>
        </w:rPr>
      </w:pPr>
    </w:p>
    <w:p w:rsidR="00F46483" w:rsidRPr="00B70DBD" w:rsidRDefault="00F46483" w:rsidP="00A47ADC">
      <w:pPr>
        <w:pStyle w:val="Prrafodelista"/>
        <w:numPr>
          <w:ilvl w:val="0"/>
          <w:numId w:val="7"/>
        </w:numPr>
        <w:spacing w:before="120" w:after="120" w:line="312" w:lineRule="auto"/>
        <w:ind w:left="426"/>
        <w:contextualSpacing w:val="0"/>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46483" w:rsidRDefault="00F46483" w:rsidP="00A47ADC">
      <w:pPr>
        <w:pStyle w:val="Prrafodelista"/>
        <w:spacing w:before="120" w:after="120" w:line="312" w:lineRule="auto"/>
        <w:ind w:left="426"/>
        <w:contextualSpacing w:val="0"/>
        <w:jc w:val="both"/>
        <w:rPr>
          <w:rStyle w:val="Ttulo2Car"/>
          <w:color w:val="00642D"/>
          <w:sz w:val="22"/>
          <w:szCs w:val="22"/>
          <w:lang w:bidi="es-ES"/>
        </w:rPr>
      </w:pPr>
    </w:p>
    <w:p w:rsidR="00F46483" w:rsidRDefault="00504C52" w:rsidP="00A47ADC">
      <w:pPr>
        <w:pStyle w:val="Prrafodelista"/>
        <w:spacing w:before="120" w:after="120" w:line="312" w:lineRule="auto"/>
        <w:ind w:left="426"/>
        <w:contextualSpacing w:val="0"/>
        <w:jc w:val="both"/>
        <w:rPr>
          <w:bCs/>
        </w:rPr>
      </w:pPr>
      <w:r w:rsidRPr="00504C52">
        <w:rPr>
          <w:bCs/>
        </w:rPr>
        <w:t>No se ha remitido información sobre la actividad generada por las solicitudes de acceso a información pública en 2020.</w:t>
      </w:r>
    </w:p>
    <w:p w:rsidR="00D670FA" w:rsidRDefault="00D670FA" w:rsidP="00D670FA">
      <w:pPr>
        <w:pStyle w:val="Prrafodelista"/>
        <w:ind w:left="426"/>
        <w:jc w:val="both"/>
        <w:rPr>
          <w:bCs/>
        </w:rPr>
      </w:pPr>
      <w:r w:rsidRPr="00D74E79">
        <w:rPr>
          <w:bCs/>
        </w:rPr>
        <w:t>Una cuestión adicional es que no se publican las resoluciones que deniegan el acceso a la información en aplicación de los límites del artículo 14.</w:t>
      </w:r>
    </w:p>
    <w:p w:rsidR="00D670FA" w:rsidRDefault="00D670FA" w:rsidP="00D670FA">
      <w:pPr>
        <w:pStyle w:val="Prrafodelista"/>
        <w:ind w:left="426"/>
        <w:jc w:val="both"/>
        <w:rPr>
          <w:bCs/>
        </w:rPr>
      </w:pPr>
    </w:p>
    <w:p w:rsidR="00D670FA" w:rsidRDefault="00D670FA" w:rsidP="00D670FA">
      <w:pPr>
        <w:pStyle w:val="Prrafodelista"/>
        <w:pBdr>
          <w:top w:val="single" w:sz="4" w:space="1" w:color="008000"/>
          <w:left w:val="single" w:sz="4" w:space="4" w:color="008000"/>
          <w:bottom w:val="single" w:sz="4" w:space="1" w:color="008000"/>
          <w:right w:val="single" w:sz="4" w:space="4" w:color="008000"/>
        </w:pBdr>
        <w:ind w:left="426"/>
        <w:jc w:val="both"/>
        <w:rPr>
          <w:bCs/>
        </w:rPr>
      </w:pPr>
      <w:r>
        <w:rPr>
          <w:bCs/>
        </w:rPr>
        <w:t xml:space="preserve">El </w:t>
      </w:r>
      <w:r w:rsidRPr="00D670FA">
        <w:rPr>
          <w:bCs/>
        </w:rPr>
        <w:t xml:space="preserve">CGCOHCP </w:t>
      </w:r>
      <w:r>
        <w:rPr>
          <w:bCs/>
        </w:rPr>
        <w:t>debería publicar en su Portal de Transparencia las resoluciones que deniegan el acceso a la información por aplicación de los límites del artículo 14, según lo dispuesto por el artículo 14.3 de la LTAIBG.</w:t>
      </w:r>
    </w:p>
    <w:p w:rsidR="00D670FA" w:rsidRDefault="00D670FA" w:rsidP="00D670FA">
      <w:pPr>
        <w:pStyle w:val="Prrafodelista"/>
        <w:pBdr>
          <w:top w:val="single" w:sz="4" w:space="1" w:color="008000"/>
          <w:left w:val="single" w:sz="4" w:space="4" w:color="008000"/>
          <w:bottom w:val="single" w:sz="4" w:space="1" w:color="008000"/>
          <w:right w:val="single" w:sz="4" w:space="4" w:color="008000"/>
        </w:pBdr>
        <w:ind w:left="426"/>
        <w:jc w:val="both"/>
        <w:rPr>
          <w:bCs/>
        </w:rPr>
      </w:pPr>
    </w:p>
    <w:p w:rsidR="00D670FA" w:rsidRPr="008648E8" w:rsidRDefault="00D670FA" w:rsidP="00D670FA">
      <w:pPr>
        <w:pStyle w:val="Prrafodelista"/>
        <w:pBdr>
          <w:top w:val="single" w:sz="4" w:space="1" w:color="008000"/>
          <w:left w:val="single" w:sz="4" w:space="4" w:color="008000"/>
          <w:bottom w:val="single" w:sz="4" w:space="1" w:color="008000"/>
          <w:right w:val="single" w:sz="4" w:space="4" w:color="008000"/>
        </w:pBdr>
        <w:ind w:left="426"/>
        <w:jc w:val="both"/>
        <w:rPr>
          <w:bCs/>
        </w:rPr>
      </w:pPr>
      <w:r>
        <w:rPr>
          <w:bCs/>
        </w:rPr>
        <w:t>En el caso de que no hubiese solicitudes denegadas por aplicación de estos límites debería indicarse expresamente esta circunstancia.</w:t>
      </w:r>
    </w:p>
    <w:p w:rsidR="00F46483" w:rsidRPr="00F46483" w:rsidRDefault="00F46483" w:rsidP="00A47ADC">
      <w:pPr>
        <w:pStyle w:val="Prrafodelista"/>
        <w:spacing w:before="120" w:after="120" w:line="312" w:lineRule="auto"/>
        <w:ind w:left="426"/>
        <w:contextualSpacing w:val="0"/>
        <w:jc w:val="both"/>
        <w:rPr>
          <w:highlight w:val="yellow"/>
        </w:rPr>
      </w:pPr>
    </w:p>
    <w:p w:rsidR="00F46483" w:rsidRPr="003315C5" w:rsidRDefault="00F46483" w:rsidP="00A47ADC">
      <w:pPr>
        <w:pStyle w:val="Prrafodelista"/>
        <w:numPr>
          <w:ilvl w:val="0"/>
          <w:numId w:val="7"/>
        </w:numPr>
        <w:spacing w:before="120" w:after="120" w:line="312" w:lineRule="auto"/>
        <w:ind w:left="426"/>
        <w:contextualSpacing w:val="0"/>
        <w:jc w:val="both"/>
      </w:pPr>
      <w:r w:rsidRPr="003315C5">
        <w:rPr>
          <w:rStyle w:val="Ttulo2Car"/>
          <w:color w:val="00642D"/>
          <w:sz w:val="22"/>
          <w:szCs w:val="22"/>
          <w:lang w:bidi="es-ES"/>
        </w:rPr>
        <w:t>Respecto de la localización de la información y facilidad de acceso al ejercicio del derecho.</w:t>
      </w:r>
    </w:p>
    <w:p w:rsidR="00F46483" w:rsidRPr="003315C5" w:rsidRDefault="00F46483" w:rsidP="00A47ADC">
      <w:pPr>
        <w:pStyle w:val="Prrafodelista"/>
        <w:spacing w:before="120" w:after="120" w:line="312" w:lineRule="auto"/>
        <w:ind w:left="426"/>
        <w:contextualSpacing w:val="0"/>
        <w:jc w:val="both"/>
      </w:pPr>
    </w:p>
    <w:p w:rsidR="00D670FA" w:rsidRDefault="003315C5" w:rsidP="005738CA">
      <w:pPr>
        <w:pStyle w:val="Prrafodelista"/>
        <w:spacing w:before="120" w:after="120"/>
        <w:ind w:left="644"/>
        <w:contextualSpacing w:val="0"/>
        <w:jc w:val="both"/>
      </w:pPr>
      <w:r>
        <w:t xml:space="preserve">Como se ha indicado, el </w:t>
      </w:r>
      <w:r w:rsidR="00BC5874" w:rsidRPr="00BC5874">
        <w:t xml:space="preserve">CGCOHCP </w:t>
      </w:r>
      <w:r>
        <w:t xml:space="preserve">dispone de un espacio en su Portal de Transparencia </w:t>
      </w:r>
      <w:r w:rsidR="00D670FA">
        <w:t xml:space="preserve">recientemente creado, </w:t>
      </w:r>
      <w:r>
        <w:t xml:space="preserve">que ofrece información sobre la posibilidad de que los ciudadanos </w:t>
      </w:r>
      <w:r w:rsidR="00A47ADC">
        <w:t xml:space="preserve">puedan presentar </w:t>
      </w:r>
      <w:r>
        <w:t>solicit</w:t>
      </w:r>
      <w:r w:rsidR="00A47ADC">
        <w:t>udes de</w:t>
      </w:r>
      <w:r w:rsidR="004E39A0">
        <w:t xml:space="preserve"> </w:t>
      </w:r>
      <w:r>
        <w:t>información pública dirigida</w:t>
      </w:r>
      <w:r w:rsidR="00A47ADC">
        <w:t>s</w:t>
      </w:r>
      <w:r>
        <w:t xml:space="preserve"> a la institución. También </w:t>
      </w:r>
      <w:r w:rsidR="00D670FA">
        <w:t xml:space="preserve">se proporciona un correo electrónico </w:t>
      </w:r>
      <w:r>
        <w:t xml:space="preserve">para la presentación de las solicitudes. </w:t>
      </w:r>
      <w:r w:rsidR="00D670FA">
        <w:t>No se publica información sobre los requisitos establecidos ni</w:t>
      </w:r>
      <w:r>
        <w:t xml:space="preserve"> información adicional e instrucciones para la </w:t>
      </w:r>
      <w:r w:rsidR="00C33A3B">
        <w:t>presentación de las solicitudes</w:t>
      </w:r>
      <w:r w:rsidR="00D670FA">
        <w:t>.</w:t>
      </w:r>
    </w:p>
    <w:p w:rsidR="00B53A41" w:rsidRDefault="00B53A41" w:rsidP="005738CA">
      <w:pPr>
        <w:pStyle w:val="Prrafodelista"/>
        <w:spacing w:before="120" w:after="120"/>
        <w:ind w:left="644"/>
        <w:contextualSpacing w:val="0"/>
        <w:jc w:val="both"/>
      </w:pPr>
    </w:p>
    <w:p w:rsidR="00D670FA" w:rsidRDefault="00D670FA" w:rsidP="00D670FA">
      <w:pPr>
        <w:pStyle w:val="Prrafodelista"/>
        <w:pBdr>
          <w:top w:val="single" w:sz="4" w:space="3"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w:t>
      </w:r>
      <w:r>
        <w:t xml:space="preserve">amplíen los contenidos del apartado derecho de acceso del Portal de Transparencia, incorporando información sobre </w:t>
      </w:r>
      <w:r w:rsidRPr="00C627FB">
        <w:t xml:space="preserve">los medios habilitados para la presentación de las solicitudes de información pública dirigidas a la </w:t>
      </w:r>
      <w:r>
        <w:t>entidad</w:t>
      </w:r>
      <w:r w:rsidRPr="00C627FB">
        <w:t xml:space="preserve"> </w:t>
      </w:r>
      <w:r>
        <w:t>así como</w:t>
      </w:r>
      <w:r w:rsidRPr="00C627FB">
        <w:t xml:space="preserve"> los requisitos necesarios para la presentación de una solicitud de acceso </w:t>
      </w:r>
      <w:r w:rsidRPr="00C627FB">
        <w:lastRenderedPageBreak/>
        <w:t xml:space="preserve">a la información pública </w:t>
      </w:r>
      <w:r>
        <w:t xml:space="preserve">del </w:t>
      </w:r>
      <w:r w:rsidRPr="00D670FA">
        <w:t>CGCOHCP</w:t>
      </w:r>
      <w:r w:rsidRPr="00C627FB">
        <w:t>.</w:t>
      </w:r>
      <w:r>
        <w:t xml:space="preserve"> También podría valorarse la incorporación adicional relativa al procedimiento.</w:t>
      </w:r>
    </w:p>
    <w:p w:rsidR="00D670FA" w:rsidRDefault="00D670FA" w:rsidP="00D670FA">
      <w:pPr>
        <w:pStyle w:val="Prrafodelista"/>
        <w:pBdr>
          <w:top w:val="single" w:sz="4" w:space="3" w:color="008000"/>
          <w:left w:val="single" w:sz="4" w:space="4" w:color="008000"/>
          <w:bottom w:val="single" w:sz="4" w:space="1" w:color="008000"/>
          <w:right w:val="single" w:sz="4" w:space="4" w:color="008000"/>
        </w:pBdr>
        <w:ind w:left="567"/>
        <w:jc w:val="both"/>
      </w:pPr>
    </w:p>
    <w:p w:rsidR="00D670FA" w:rsidRDefault="00D670FA" w:rsidP="00D670FA">
      <w:pPr>
        <w:pStyle w:val="Prrafodelista"/>
        <w:pBdr>
          <w:top w:val="single" w:sz="4" w:space="3" w:color="008000"/>
          <w:left w:val="single" w:sz="4" w:space="4" w:color="008000"/>
          <w:bottom w:val="single" w:sz="4" w:space="1" w:color="008000"/>
          <w:right w:val="single" w:sz="4" w:space="4" w:color="008000"/>
        </w:pBdr>
        <w:ind w:left="567"/>
        <w:jc w:val="both"/>
      </w:pPr>
      <w:r w:rsidRPr="00C627FB">
        <w:t>E</w:t>
      </w:r>
      <w:r>
        <w:t>n e</w:t>
      </w:r>
      <w:r w:rsidRPr="00C627FB">
        <w:t>ste mismo espacio podría</w:t>
      </w:r>
      <w:r>
        <w:t>n</w:t>
      </w:r>
      <w:r w:rsidRPr="00C627FB">
        <w:t xml:space="preserve"> publica</w:t>
      </w:r>
      <w:r>
        <w:t>rse</w:t>
      </w:r>
      <w:r w:rsidRPr="00C627FB">
        <w:t xml:space="preserve"> las resoluciones denegatorias por aplicación de los límites del artículo14 de la LTAIBG.</w:t>
      </w:r>
    </w:p>
    <w:p w:rsidR="00D670FA" w:rsidRPr="00F46483" w:rsidRDefault="00D670FA" w:rsidP="00D670FA">
      <w:pPr>
        <w:pStyle w:val="Prrafodelista"/>
        <w:spacing w:before="120" w:after="120" w:line="312" w:lineRule="auto"/>
        <w:ind w:left="644"/>
        <w:contextualSpacing w:val="0"/>
        <w:jc w:val="both"/>
      </w:pPr>
    </w:p>
    <w:p w:rsidR="00A47ADC" w:rsidRDefault="00F46483" w:rsidP="00A47ADC">
      <w:pPr>
        <w:pStyle w:val="Prrafodelista"/>
        <w:spacing w:before="120" w:after="120" w:line="312" w:lineRule="auto"/>
        <w:ind w:left="709"/>
        <w:contextualSpacing w:val="0"/>
        <w:jc w:val="both"/>
        <w:rPr>
          <w:highlight w:val="yellow"/>
        </w:rPr>
      </w:pPr>
      <w:r w:rsidRPr="00F46483">
        <w:rPr>
          <w:highlight w:val="yellow"/>
        </w:rPr>
        <w:t xml:space="preserve"> </w:t>
      </w:r>
    </w:p>
    <w:p w:rsidR="00F46483" w:rsidRPr="003315C5" w:rsidRDefault="00F46483" w:rsidP="00A47ADC">
      <w:pPr>
        <w:pStyle w:val="Prrafodelista"/>
        <w:numPr>
          <w:ilvl w:val="0"/>
          <w:numId w:val="6"/>
        </w:numPr>
        <w:spacing w:before="120" w:after="120" w:line="312" w:lineRule="auto"/>
        <w:ind w:left="426"/>
        <w:contextualSpacing w:val="0"/>
        <w:jc w:val="both"/>
        <w:rPr>
          <w:rStyle w:val="Ttulo2Car"/>
          <w:color w:val="00642D"/>
          <w:sz w:val="22"/>
          <w:szCs w:val="22"/>
          <w:lang w:bidi="es-ES"/>
        </w:rPr>
      </w:pPr>
      <w:r w:rsidRPr="003315C5">
        <w:rPr>
          <w:rStyle w:val="Ttulo2Car"/>
          <w:color w:val="00642D"/>
          <w:sz w:val="22"/>
          <w:szCs w:val="22"/>
          <w:lang w:bidi="es-ES"/>
        </w:rPr>
        <w:t>Respecto de la gestión de las solicitudes de acceso</w:t>
      </w:r>
    </w:p>
    <w:p w:rsidR="00F46483" w:rsidRPr="003315C5" w:rsidRDefault="00F46483" w:rsidP="00A47ADC">
      <w:pPr>
        <w:pStyle w:val="Prrafodelista"/>
        <w:spacing w:before="120" w:after="120" w:line="312" w:lineRule="auto"/>
        <w:ind w:left="426"/>
        <w:contextualSpacing w:val="0"/>
        <w:jc w:val="both"/>
      </w:pPr>
    </w:p>
    <w:p w:rsidR="00B25CC7" w:rsidRDefault="00B25CC7" w:rsidP="00B25CC7">
      <w:pPr>
        <w:pStyle w:val="Prrafodelista"/>
        <w:ind w:left="426"/>
        <w:jc w:val="both"/>
      </w:pPr>
      <w:r>
        <w:t xml:space="preserve">La gestión de la solicitud de acceso presentada no se ha ajustado al procedimiento establecido por la LTAIBG. </w:t>
      </w:r>
    </w:p>
    <w:p w:rsidR="00B25CC7" w:rsidRDefault="00B25CC7" w:rsidP="00B25CC7">
      <w:pPr>
        <w:pStyle w:val="Prrafodelista"/>
        <w:ind w:left="426"/>
        <w:jc w:val="both"/>
      </w:pPr>
    </w:p>
    <w:p w:rsidR="00B25CC7" w:rsidRDefault="00B25CC7" w:rsidP="00B25CC7">
      <w:pPr>
        <w:pStyle w:val="Prrafodelista"/>
        <w:ind w:left="426"/>
        <w:jc w:val="both"/>
      </w:pPr>
      <w:r>
        <w:t xml:space="preserve">El </w:t>
      </w:r>
      <w:r w:rsidR="00BC5874" w:rsidRPr="00BC5874">
        <w:t xml:space="preserve">CGCOHCP </w:t>
      </w:r>
      <w:r>
        <w:t xml:space="preserve">no emite una resolución expresa. La contestación a la solicitud  se efectúa mediante un correo electrónico en el que se indica que no se ha generado ningún tipo de actividad relacionada con los contenidos de la información solicitada. Este correo electrónico no incluye pie de recurso, </w:t>
      </w:r>
      <w:r w:rsidRPr="00330EC6">
        <w:t>carec</w:t>
      </w:r>
      <w:r>
        <w:t>i</w:t>
      </w:r>
      <w:r w:rsidRPr="00330EC6">
        <w:t>e</w:t>
      </w:r>
      <w:r>
        <w:t xml:space="preserve">ndo en consecuencia, </w:t>
      </w:r>
      <w:r w:rsidRPr="00330EC6">
        <w:t xml:space="preserve">de información sobre los medios de impugnación en caso de disconformidad con la respuesta proporcionada, cuestión sobre la que tampoco se informa en el Portal de Transparencia de la entidad.  </w:t>
      </w:r>
    </w:p>
    <w:p w:rsidR="00B25CC7" w:rsidRDefault="00B25CC7" w:rsidP="00B25CC7">
      <w:pPr>
        <w:pStyle w:val="Prrafodelista"/>
        <w:ind w:left="426"/>
        <w:jc w:val="both"/>
      </w:pPr>
    </w:p>
    <w:p w:rsidR="00B25CC7" w:rsidRDefault="00B25CC7" w:rsidP="00504C52">
      <w:pPr>
        <w:pStyle w:val="Prrafodelista"/>
        <w:pBdr>
          <w:top w:val="single" w:sz="4" w:space="1" w:color="008000"/>
          <w:left w:val="single" w:sz="4" w:space="4" w:color="008000"/>
          <w:bottom w:val="single" w:sz="4" w:space="1" w:color="008000"/>
          <w:right w:val="single" w:sz="4" w:space="4" w:color="008000"/>
        </w:pBdr>
        <w:ind w:left="426"/>
        <w:jc w:val="both"/>
      </w:pPr>
      <w:bookmarkStart w:id="0" w:name="_GoBack"/>
      <w:bookmarkEnd w:id="0"/>
      <w:r>
        <w:t xml:space="preserve">Aunque el volumen de datos relativos a una información solicitada al amparo de la LTAIBG tenga escasa entidad y se considere más ágil proporcionar la información directamente mediante un correo electrónico, el </w:t>
      </w:r>
      <w:r w:rsidR="00BC5874" w:rsidRPr="00BC5874">
        <w:t xml:space="preserve">CGCOHCP </w:t>
      </w:r>
      <w:r>
        <w:t xml:space="preserve">debería de ajustarse al procedimiento establecido y emitir una resolución expresa – no es suficiente un correo electrónico </w:t>
      </w:r>
      <w:r w:rsidR="005738CA">
        <w:t>proporcionando</w:t>
      </w:r>
      <w:r>
        <w:t xml:space="preserve"> la información - que indique los recursos que contra la misma procedan, órgano administrativo o judicial ante el que presentarlos y el plazo para interponerlos. </w:t>
      </w:r>
    </w:p>
    <w:sectPr w:rsidR="00B25CC7" w:rsidSect="00A47ADC">
      <w:headerReference w:type="even" r:id="rId13"/>
      <w:headerReference w:type="default" r:id="rId14"/>
      <w:footerReference w:type="even" r:id="rId15"/>
      <w:footerReference w:type="default" r:id="rId16"/>
      <w:headerReference w:type="first" r:id="rId17"/>
      <w:footerReference w:type="first" r:id="rId18"/>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FA" w:rsidRDefault="00D670FA" w:rsidP="00932008">
      <w:pPr>
        <w:spacing w:after="0" w:line="240" w:lineRule="auto"/>
      </w:pPr>
      <w:r>
        <w:separator/>
      </w:r>
    </w:p>
  </w:endnote>
  <w:endnote w:type="continuationSeparator" w:id="0">
    <w:p w:rsidR="00D670FA" w:rsidRDefault="00D670F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FA" w:rsidRDefault="00D670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67861"/>
      <w:docPartObj>
        <w:docPartGallery w:val="Page Numbers (Bottom of Page)"/>
        <w:docPartUnique/>
      </w:docPartObj>
    </w:sdtPr>
    <w:sdtEndPr>
      <w:rPr>
        <w:sz w:val="20"/>
        <w:szCs w:val="20"/>
      </w:rPr>
    </w:sdtEndPr>
    <w:sdtContent>
      <w:p w:rsidR="00D670FA" w:rsidRPr="00124C83" w:rsidRDefault="00D670FA">
        <w:pPr>
          <w:pStyle w:val="Piedepgina"/>
          <w:jc w:val="right"/>
          <w:rPr>
            <w:sz w:val="20"/>
            <w:szCs w:val="20"/>
          </w:rPr>
        </w:pPr>
        <w:r w:rsidRPr="00124C83">
          <w:rPr>
            <w:sz w:val="20"/>
            <w:szCs w:val="20"/>
          </w:rPr>
          <w:fldChar w:fldCharType="begin"/>
        </w:r>
        <w:r w:rsidRPr="00124C83">
          <w:rPr>
            <w:sz w:val="20"/>
            <w:szCs w:val="20"/>
          </w:rPr>
          <w:instrText>PAGE   \* MERGEFORMAT</w:instrText>
        </w:r>
        <w:r w:rsidRPr="00124C83">
          <w:rPr>
            <w:sz w:val="20"/>
            <w:szCs w:val="20"/>
          </w:rPr>
          <w:fldChar w:fldCharType="separate"/>
        </w:r>
        <w:r w:rsidR="00504C52">
          <w:rPr>
            <w:noProof/>
            <w:sz w:val="20"/>
            <w:szCs w:val="20"/>
          </w:rPr>
          <w:t>4</w:t>
        </w:r>
        <w:r w:rsidRPr="00124C83">
          <w:rPr>
            <w:sz w:val="20"/>
            <w:szCs w:val="20"/>
          </w:rPr>
          <w:fldChar w:fldCharType="end"/>
        </w:r>
      </w:p>
    </w:sdtContent>
  </w:sdt>
  <w:p w:rsidR="00D670FA" w:rsidRDefault="00D670F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FA" w:rsidRDefault="00D670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FA" w:rsidRDefault="00D670FA" w:rsidP="00932008">
      <w:pPr>
        <w:spacing w:after="0" w:line="240" w:lineRule="auto"/>
      </w:pPr>
      <w:r>
        <w:separator/>
      </w:r>
    </w:p>
  </w:footnote>
  <w:footnote w:type="continuationSeparator" w:id="0">
    <w:p w:rsidR="00D670FA" w:rsidRDefault="00D670F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FA" w:rsidRDefault="00D670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FA" w:rsidRDefault="00D670F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FA" w:rsidRDefault="00D670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067F45"/>
    <w:multiLevelType w:val="hybridMultilevel"/>
    <w:tmpl w:val="773EFE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5">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33BE"/>
    <w:rsid w:val="000262A3"/>
    <w:rsid w:val="00055B15"/>
    <w:rsid w:val="000965B3"/>
    <w:rsid w:val="000C6CFF"/>
    <w:rsid w:val="00102733"/>
    <w:rsid w:val="00124C83"/>
    <w:rsid w:val="0012783F"/>
    <w:rsid w:val="00131382"/>
    <w:rsid w:val="001561A4"/>
    <w:rsid w:val="00176A94"/>
    <w:rsid w:val="00194000"/>
    <w:rsid w:val="001F251B"/>
    <w:rsid w:val="002019B0"/>
    <w:rsid w:val="00217950"/>
    <w:rsid w:val="00241D7A"/>
    <w:rsid w:val="00256215"/>
    <w:rsid w:val="002A154B"/>
    <w:rsid w:val="002A2E82"/>
    <w:rsid w:val="003301B4"/>
    <w:rsid w:val="003315C5"/>
    <w:rsid w:val="00334115"/>
    <w:rsid w:val="0039794E"/>
    <w:rsid w:val="003F271E"/>
    <w:rsid w:val="003F572A"/>
    <w:rsid w:val="004A123A"/>
    <w:rsid w:val="004D3DD1"/>
    <w:rsid w:val="004D6E73"/>
    <w:rsid w:val="004E39A0"/>
    <w:rsid w:val="004F2655"/>
    <w:rsid w:val="00504C52"/>
    <w:rsid w:val="005446A8"/>
    <w:rsid w:val="00561402"/>
    <w:rsid w:val="005738CA"/>
    <w:rsid w:val="0057532F"/>
    <w:rsid w:val="00595AAF"/>
    <w:rsid w:val="00596FDE"/>
    <w:rsid w:val="005B1F0E"/>
    <w:rsid w:val="005B3C15"/>
    <w:rsid w:val="006A2766"/>
    <w:rsid w:val="00706E04"/>
    <w:rsid w:val="00707CFE"/>
    <w:rsid w:val="00710031"/>
    <w:rsid w:val="00727BA2"/>
    <w:rsid w:val="00743756"/>
    <w:rsid w:val="007507B4"/>
    <w:rsid w:val="00764AC1"/>
    <w:rsid w:val="007B0F99"/>
    <w:rsid w:val="007D6B40"/>
    <w:rsid w:val="00815659"/>
    <w:rsid w:val="008207D9"/>
    <w:rsid w:val="00844FA9"/>
    <w:rsid w:val="008C1E1E"/>
    <w:rsid w:val="008E7983"/>
    <w:rsid w:val="00923092"/>
    <w:rsid w:val="009239D9"/>
    <w:rsid w:val="00932008"/>
    <w:rsid w:val="00935E6A"/>
    <w:rsid w:val="00956BFC"/>
    <w:rsid w:val="009609E9"/>
    <w:rsid w:val="00983919"/>
    <w:rsid w:val="00A41DD5"/>
    <w:rsid w:val="00A47ADC"/>
    <w:rsid w:val="00A76CE1"/>
    <w:rsid w:val="00A945B5"/>
    <w:rsid w:val="00A974B0"/>
    <w:rsid w:val="00AA3033"/>
    <w:rsid w:val="00AC5306"/>
    <w:rsid w:val="00AD6EC5"/>
    <w:rsid w:val="00B25CC7"/>
    <w:rsid w:val="00B40246"/>
    <w:rsid w:val="00B53A41"/>
    <w:rsid w:val="00B5583D"/>
    <w:rsid w:val="00B812AB"/>
    <w:rsid w:val="00B841AE"/>
    <w:rsid w:val="00B85710"/>
    <w:rsid w:val="00BB6799"/>
    <w:rsid w:val="00BC5874"/>
    <w:rsid w:val="00BD4582"/>
    <w:rsid w:val="00BE6A46"/>
    <w:rsid w:val="00C14BCD"/>
    <w:rsid w:val="00C33A23"/>
    <w:rsid w:val="00C33A3B"/>
    <w:rsid w:val="00C34BB5"/>
    <w:rsid w:val="00C4479B"/>
    <w:rsid w:val="00C52E57"/>
    <w:rsid w:val="00C562D3"/>
    <w:rsid w:val="00C5744D"/>
    <w:rsid w:val="00C65054"/>
    <w:rsid w:val="00CA2D21"/>
    <w:rsid w:val="00CB5511"/>
    <w:rsid w:val="00CC2049"/>
    <w:rsid w:val="00CC587B"/>
    <w:rsid w:val="00D00B77"/>
    <w:rsid w:val="00D445A7"/>
    <w:rsid w:val="00D52E43"/>
    <w:rsid w:val="00D670FA"/>
    <w:rsid w:val="00D96F84"/>
    <w:rsid w:val="00DC4007"/>
    <w:rsid w:val="00DC75EC"/>
    <w:rsid w:val="00DD3E02"/>
    <w:rsid w:val="00DE4AA9"/>
    <w:rsid w:val="00DF63E7"/>
    <w:rsid w:val="00E3088D"/>
    <w:rsid w:val="00E34195"/>
    <w:rsid w:val="00E47613"/>
    <w:rsid w:val="00E52139"/>
    <w:rsid w:val="00E569FD"/>
    <w:rsid w:val="00E857EA"/>
    <w:rsid w:val="00E94971"/>
    <w:rsid w:val="00EB714A"/>
    <w:rsid w:val="00EE5BDF"/>
    <w:rsid w:val="00F14DA4"/>
    <w:rsid w:val="00F4013B"/>
    <w:rsid w:val="00F46483"/>
    <w:rsid w:val="00F47C3B"/>
    <w:rsid w:val="00F60274"/>
    <w:rsid w:val="00F71D7D"/>
    <w:rsid w:val="00F7263F"/>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 w:type="character" w:styleId="Hipervnculo">
    <w:name w:val="Hyperlink"/>
    <w:basedOn w:val="Fuentedeprrafopredeter"/>
    <w:uiPriority w:val="99"/>
    <w:unhideWhenUsed/>
    <w:rsid w:val="00BC58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 w:type="character" w:styleId="Hipervnculo">
    <w:name w:val="Hyperlink"/>
    <w:basedOn w:val="Fuentedeprrafopredeter"/>
    <w:uiPriority w:val="99"/>
    <w:unhideWhenUsed/>
    <w:rsid w:val="00BC58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elegadoprotecciondatos@habilitado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2F6314"/>
    <w:rsid w:val="003D088C"/>
    <w:rsid w:val="004A2868"/>
    <w:rsid w:val="007F7F71"/>
    <w:rsid w:val="00902153"/>
    <w:rsid w:val="00C26568"/>
    <w:rsid w:val="00D20FBA"/>
    <w:rsid w:val="00D35513"/>
    <w:rsid w:val="00DD3FB6"/>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98C0FD8-815C-472E-84CD-60E33623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25</TotalTime>
  <Pages>4</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2021-09-27T15:05:00Z</dcterms:created>
  <dcterms:modified xsi:type="dcterms:W3CDTF">2021-10-18T11:43:00Z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