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224155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65270F" w:rsidRPr="00006957" w:rsidRDefault="0065270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7.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B103F4" w:rsidRPr="00006957" w:rsidRDefault="00B103F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5270F" w:rsidRDefault="0065270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103F4" w:rsidRDefault="00B103F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680D94" w:rsidRPr="00CB5511" w:rsidTr="002F54A2">
        <w:tc>
          <w:tcPr>
            <w:tcW w:w="3652" w:type="dxa"/>
          </w:tcPr>
          <w:p w:rsidR="00680D94" w:rsidRPr="00E34195" w:rsidRDefault="00680D94" w:rsidP="002F54A2">
            <w:pPr>
              <w:rPr>
                <w:b/>
                <w:color w:val="00642D"/>
                <w:sz w:val="24"/>
                <w:szCs w:val="24"/>
              </w:rPr>
            </w:pPr>
            <w:r w:rsidRPr="00E34195">
              <w:rPr>
                <w:b/>
                <w:color w:val="00642D"/>
                <w:sz w:val="24"/>
                <w:szCs w:val="24"/>
              </w:rPr>
              <w:t>Entidad evaluada</w:t>
            </w:r>
          </w:p>
        </w:tc>
        <w:tc>
          <w:tcPr>
            <w:tcW w:w="6954" w:type="dxa"/>
          </w:tcPr>
          <w:p w:rsidR="00680D94" w:rsidRPr="00B813C1" w:rsidRDefault="00680D94" w:rsidP="006C3D22">
            <w:r w:rsidRPr="00B813C1">
              <w:t>Colegio Oficial de Ingeniería de Montes</w:t>
            </w:r>
            <w:r w:rsidR="006C3D22">
              <w:t xml:space="preserve"> (COIM)</w:t>
            </w:r>
          </w:p>
        </w:tc>
      </w:tr>
      <w:tr w:rsidR="00680D94" w:rsidRPr="00CB5511" w:rsidTr="002F54A2">
        <w:tc>
          <w:tcPr>
            <w:tcW w:w="3652" w:type="dxa"/>
          </w:tcPr>
          <w:p w:rsidR="00680D94" w:rsidRPr="00E34195" w:rsidRDefault="00680D94" w:rsidP="002F54A2">
            <w:pPr>
              <w:rPr>
                <w:b/>
                <w:color w:val="00642D"/>
                <w:sz w:val="24"/>
                <w:szCs w:val="24"/>
              </w:rPr>
            </w:pPr>
            <w:r w:rsidRPr="00E34195">
              <w:rPr>
                <w:b/>
                <w:color w:val="00642D"/>
                <w:sz w:val="24"/>
                <w:szCs w:val="24"/>
              </w:rPr>
              <w:t>Fecha de la evaluación</w:t>
            </w:r>
          </w:p>
        </w:tc>
        <w:tc>
          <w:tcPr>
            <w:tcW w:w="6954" w:type="dxa"/>
          </w:tcPr>
          <w:p w:rsidR="00680D94" w:rsidRPr="00B813C1" w:rsidRDefault="00680D94" w:rsidP="004F3558">
            <w:r>
              <w:t>14 de junio 2021</w:t>
            </w:r>
          </w:p>
        </w:tc>
      </w:tr>
      <w:tr w:rsidR="00680D94" w:rsidRPr="00CB5511" w:rsidTr="002F54A2">
        <w:tc>
          <w:tcPr>
            <w:tcW w:w="3652" w:type="dxa"/>
          </w:tcPr>
          <w:p w:rsidR="00680D94" w:rsidRPr="00E34195" w:rsidRDefault="00680D94" w:rsidP="002F54A2">
            <w:pPr>
              <w:rPr>
                <w:b/>
                <w:color w:val="00642D"/>
                <w:sz w:val="24"/>
                <w:szCs w:val="24"/>
              </w:rPr>
            </w:pPr>
            <w:r w:rsidRPr="00E34195">
              <w:rPr>
                <w:b/>
                <w:color w:val="00642D"/>
                <w:sz w:val="24"/>
                <w:szCs w:val="24"/>
              </w:rPr>
              <w:t>URL de la entidad</w:t>
            </w:r>
          </w:p>
        </w:tc>
        <w:tc>
          <w:tcPr>
            <w:tcW w:w="6954" w:type="dxa"/>
          </w:tcPr>
          <w:p w:rsidR="00680D94" w:rsidRDefault="00680D94" w:rsidP="004F3558">
            <w:r w:rsidRPr="00B813C1">
              <w:t>https://www.ingenierosdemontes.org/</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85A9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CB5511" w:rsidP="00CC02A3">
            <w:pPr>
              <w:jc w:val="both"/>
              <w:rPr>
                <w:sz w:val="20"/>
                <w:szCs w:val="20"/>
              </w:rPr>
            </w:pPr>
          </w:p>
        </w:tc>
        <w:tc>
          <w:tcPr>
            <w:tcW w:w="3969" w:type="dxa"/>
            <w:vMerge w:val="restart"/>
          </w:tcPr>
          <w:p w:rsidR="00CB5511" w:rsidRPr="000C6CFF" w:rsidRDefault="006C3D22" w:rsidP="006C3D22">
            <w:pPr>
              <w:jc w:val="both"/>
              <w:rPr>
                <w:sz w:val="20"/>
                <w:szCs w:val="20"/>
              </w:rPr>
            </w:pPr>
            <w:r w:rsidRPr="00EE2893">
              <w:rPr>
                <w:sz w:val="20"/>
                <w:szCs w:val="20"/>
              </w:rPr>
              <w:t xml:space="preserve">Cuenta con un acceso de “transparencia” en el  </w:t>
            </w:r>
            <w:r w:rsidR="00BB74A7" w:rsidRPr="00EE2893">
              <w:rPr>
                <w:sz w:val="20"/>
                <w:szCs w:val="20"/>
              </w:rPr>
              <w:t>apartado</w:t>
            </w:r>
            <w:r w:rsidR="0059693A" w:rsidRPr="00EE2893">
              <w:rPr>
                <w:sz w:val="20"/>
                <w:szCs w:val="20"/>
              </w:rPr>
              <w:t xml:space="preserve"> </w:t>
            </w:r>
            <w:r w:rsidR="00BB74A7" w:rsidRPr="00EE2893">
              <w:rPr>
                <w:sz w:val="20"/>
                <w:szCs w:val="20"/>
              </w:rPr>
              <w:t>“</w:t>
            </w:r>
            <w:r w:rsidR="00F25949" w:rsidRPr="00EE2893">
              <w:rPr>
                <w:sz w:val="20"/>
                <w:szCs w:val="20"/>
              </w:rPr>
              <w:t>Interés general”</w:t>
            </w:r>
            <w:r w:rsidRPr="00EE2893">
              <w:rPr>
                <w:sz w:val="20"/>
                <w:szCs w:val="20"/>
              </w:rPr>
              <w:t xml:space="preserve"> </w:t>
            </w:r>
            <w:r w:rsidR="00F25949" w:rsidRPr="00EE2893">
              <w:rPr>
                <w:sz w:val="20"/>
                <w:szCs w:val="20"/>
              </w:rPr>
              <w:t xml:space="preserve">del </w:t>
            </w:r>
            <w:r w:rsidRPr="00EE2893">
              <w:rPr>
                <w:sz w:val="20"/>
                <w:szCs w:val="20"/>
              </w:rPr>
              <w:t xml:space="preserve">menú </w:t>
            </w:r>
            <w:r w:rsidR="00F25949" w:rsidRPr="00EE2893">
              <w:rPr>
                <w:sz w:val="20"/>
                <w:szCs w:val="20"/>
              </w:rPr>
              <w:t xml:space="preserve">lateral izquierdo de su </w:t>
            </w:r>
            <w:r w:rsidR="00BB74A7" w:rsidRPr="00EE2893">
              <w:rPr>
                <w:sz w:val="20"/>
                <w:szCs w:val="20"/>
              </w:rPr>
              <w:t>página home</w:t>
            </w:r>
            <w:r w:rsidR="00137F9A" w:rsidRPr="004F3558">
              <w:rPr>
                <w:sz w:val="20"/>
                <w:szCs w:val="20"/>
              </w:rPr>
              <w:t xml:space="preserve">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6C3D22" w:rsidP="00CC02A3">
            <w:pPr>
              <w:jc w:val="both"/>
              <w:rPr>
                <w:sz w:val="24"/>
                <w:szCs w:val="24"/>
              </w:rPr>
            </w:pPr>
            <w:r>
              <w:rPr>
                <w:sz w:val="24"/>
                <w:szCs w:val="24"/>
              </w:rPr>
              <w:t>x</w:t>
            </w: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E46A54" w:rsidRDefault="00CB5511" w:rsidP="00CC02A3">
            <w:pPr>
              <w:jc w:val="both"/>
              <w:rPr>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6C3D22" w:rsidP="00CC02A3">
            <w:pPr>
              <w:jc w:val="both"/>
              <w:rPr>
                <w:b/>
                <w:sz w:val="20"/>
                <w:szCs w:val="20"/>
              </w:rPr>
            </w:pPr>
            <w:r w:rsidRPr="006C3D22">
              <w:rPr>
                <w:sz w:val="24"/>
                <w:szCs w:val="24"/>
              </w:rPr>
              <w:t>x</w:t>
            </w:r>
          </w:p>
        </w:tc>
        <w:tc>
          <w:tcPr>
            <w:tcW w:w="3977" w:type="dxa"/>
            <w:vMerge w:val="restart"/>
          </w:tcPr>
          <w:p w:rsidR="00932008" w:rsidRPr="00932008" w:rsidRDefault="006C3D22" w:rsidP="006C3D22">
            <w:pPr>
              <w:jc w:val="both"/>
              <w:rPr>
                <w:sz w:val="20"/>
                <w:szCs w:val="20"/>
              </w:rPr>
            </w:pPr>
            <w:r w:rsidRPr="004F3558">
              <w:rPr>
                <w:sz w:val="20"/>
                <w:szCs w:val="20"/>
              </w:rPr>
              <w:t>La información del acceso “transparencia” se organiza en los siguientes apartados: introducción, información institucional, información económica y presupuestaria, archivo histórico de información presupuestaria 2014-2019, información estadística y pro-transparencia.</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932008" w:rsidP="00CC02A3">
            <w:pPr>
              <w:jc w:val="both"/>
              <w:rPr>
                <w:sz w:val="24"/>
                <w:szCs w:val="24"/>
              </w:rPr>
            </w:pPr>
          </w:p>
        </w:tc>
        <w:tc>
          <w:tcPr>
            <w:tcW w:w="3977" w:type="dxa"/>
            <w:vMerge/>
          </w:tcPr>
          <w:p w:rsidR="00932008" w:rsidRPr="00932008" w:rsidRDefault="00932008" w:rsidP="00CC02A3">
            <w:pPr>
              <w:jc w:val="both"/>
              <w:rPr>
                <w:sz w:val="20"/>
                <w:szCs w:val="20"/>
              </w:rPr>
            </w:pPr>
          </w:p>
        </w:tc>
      </w:tr>
    </w:tbl>
    <w:p w:rsidR="00561402" w:rsidRDefault="00561402" w:rsidP="003C63A1">
      <w:pPr>
        <w:jc w:val="center"/>
      </w:pPr>
    </w:p>
    <w:p w:rsidR="003C63A1" w:rsidRDefault="006C3D22" w:rsidP="006C3D22">
      <w:pPr>
        <w:jc w:val="center"/>
      </w:pPr>
      <w:r>
        <w:rPr>
          <w:noProof/>
        </w:rPr>
        <w:drawing>
          <wp:inline distT="0" distB="0" distL="0" distR="0" wp14:anchorId="3C27A77D" wp14:editId="2E632B55">
            <wp:extent cx="6228000" cy="3253955"/>
            <wp:effectExtent l="0" t="0" r="190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3685" r="1644" b="4914"/>
                    <a:stretch/>
                  </pic:blipFill>
                  <pic:spPr bwMode="auto">
                    <a:xfrm>
                      <a:off x="0" y="0"/>
                      <a:ext cx="6228000" cy="3253955"/>
                    </a:xfrm>
                    <a:prstGeom prst="rect">
                      <a:avLst/>
                    </a:prstGeom>
                    <a:ln>
                      <a:noFill/>
                    </a:ln>
                    <a:extLst>
                      <a:ext uri="{53640926-AAD7-44D8-BBD7-CCE9431645EC}">
                        <a14:shadowObscured xmlns:a14="http://schemas.microsoft.com/office/drawing/2010/main"/>
                      </a:ext>
                    </a:extLst>
                  </pic:spPr>
                </pic:pic>
              </a:graphicData>
            </a:graphic>
          </wp:inline>
        </w:drawing>
      </w:r>
    </w:p>
    <w:p w:rsidR="006C3D22" w:rsidRDefault="006C3D22">
      <w:r>
        <w:br w:type="page"/>
      </w:r>
    </w:p>
    <w:p w:rsidR="003C63A1" w:rsidRDefault="003C63A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5631E"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6C3D22" w:rsidP="0066245B">
            <w:pPr>
              <w:pStyle w:val="Cuerpodelboletn"/>
              <w:spacing w:before="120" w:after="120" w:line="312" w:lineRule="auto"/>
              <w:rPr>
                <w:rStyle w:val="Ttulo2Car"/>
                <w:sz w:val="20"/>
                <w:szCs w:val="20"/>
                <w:lang w:bidi="es-ES"/>
              </w:rPr>
            </w:pPr>
            <w:r>
              <w:rPr>
                <w:color w:val="auto"/>
                <w:sz w:val="20"/>
                <w:szCs w:val="20"/>
              </w:rPr>
              <w:t xml:space="preserve">En sus Estatutos proporciona un </w:t>
            </w:r>
            <w:r w:rsidR="004F3558">
              <w:rPr>
                <w:color w:val="auto"/>
                <w:sz w:val="20"/>
                <w:szCs w:val="20"/>
              </w:rPr>
              <w:t xml:space="preserve">pdf con su publicación </w:t>
            </w:r>
            <w:r w:rsidR="0035631E">
              <w:rPr>
                <w:color w:val="auto"/>
                <w:sz w:val="20"/>
                <w:szCs w:val="20"/>
              </w:rPr>
              <w:t>en el BOE (año 20</w:t>
            </w:r>
            <w:r>
              <w:rPr>
                <w:color w:val="auto"/>
                <w:sz w:val="20"/>
                <w:szCs w:val="20"/>
              </w:rPr>
              <w:t>17</w:t>
            </w:r>
            <w:r w:rsidR="0035631E">
              <w:rPr>
                <w:color w:val="auto"/>
                <w:sz w:val="20"/>
                <w:szCs w:val="20"/>
              </w:rPr>
              <w:t xml:space="preserve">). </w:t>
            </w:r>
            <w:r w:rsidR="0066245B">
              <w:rPr>
                <w:color w:val="auto"/>
                <w:sz w:val="20"/>
                <w:szCs w:val="20"/>
              </w:rPr>
              <w:t xml:space="preserve">Pero el Portal cuenta con fecha de última actualización </w:t>
            </w:r>
            <w:r w:rsidR="0066245B" w:rsidRPr="0066245B">
              <w:rPr>
                <w:color w:val="auto"/>
                <w:sz w:val="20"/>
                <w:szCs w:val="20"/>
              </w:rPr>
              <w:t xml:space="preserve">28/04, l2021. Además, </w:t>
            </w:r>
            <w:r w:rsidR="005E03EF" w:rsidRPr="0066245B">
              <w:rPr>
                <w:color w:val="auto"/>
                <w:sz w:val="20"/>
                <w:szCs w:val="20"/>
              </w:rPr>
              <w:t>l</w:t>
            </w:r>
            <w:r w:rsidR="005E03EF">
              <w:rPr>
                <w:color w:val="auto"/>
                <w:sz w:val="20"/>
                <w:szCs w:val="20"/>
              </w:rPr>
              <w:t>a</w:t>
            </w:r>
            <w:r w:rsidR="004F3558">
              <w:rPr>
                <w:color w:val="auto"/>
                <w:sz w:val="20"/>
                <w:szCs w:val="20"/>
              </w:rPr>
              <w:t xml:space="preserve"> Ley de Colegios Profesionales se ofrece un enlace al BOE en su versión consolidada</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4270D"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137F9A">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9693A" w:rsidRDefault="00DE4548" w:rsidP="00141E38">
            <w:pPr>
              <w:pStyle w:val="Cuerpodelboletn"/>
              <w:spacing w:before="120" w:after="120" w:line="312" w:lineRule="auto"/>
              <w:rPr>
                <w:rStyle w:val="Ttulo2Car"/>
                <w:sz w:val="20"/>
                <w:szCs w:val="20"/>
                <w:lang w:bidi="es-ES"/>
              </w:rPr>
            </w:pPr>
            <w:r w:rsidRPr="0059693A">
              <w:rPr>
                <w:sz w:val="20"/>
                <w:szCs w:val="20"/>
              </w:rPr>
              <w:t xml:space="preserve">No se ha localizado información.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34AC7" w:rsidRDefault="00E34195" w:rsidP="00B4725E">
            <w:pPr>
              <w:pStyle w:val="Cuerpodelboletn"/>
              <w:spacing w:before="120" w:after="120" w:line="312" w:lineRule="auto"/>
              <w:rPr>
                <w:b/>
                <w:bC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E3088D">
            <w:pPr>
              <w:pStyle w:val="Cuerpodelboletn"/>
              <w:spacing w:before="120" w:after="120" w:line="312" w:lineRule="auto"/>
              <w:rPr>
                <w:rStyle w:val="Ttulo2Car"/>
                <w:sz w:val="20"/>
                <w:szCs w:val="20"/>
                <w:lang w:bidi="es-ES"/>
              </w:rPr>
            </w:pPr>
            <w:r w:rsidRPr="00D34AC7">
              <w:rPr>
                <w:sz w:val="20"/>
                <w:szCs w:val="20"/>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D17BA3">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34AC7" w:rsidP="003D1089">
            <w:pPr>
              <w:pStyle w:val="Cuerpodelboletn"/>
              <w:spacing w:before="120" w:after="120" w:line="312" w:lineRule="auto"/>
              <w:rPr>
                <w:rStyle w:val="Ttulo2Car"/>
                <w:sz w:val="20"/>
                <w:szCs w:val="20"/>
                <w:lang w:bidi="es-ES"/>
              </w:rPr>
            </w:pPr>
            <w:r w:rsidRPr="00D34AC7">
              <w:rPr>
                <w:sz w:val="20"/>
                <w:szCs w:val="20"/>
              </w:rPr>
              <w:t>No se ha localizado información</w:t>
            </w:r>
          </w:p>
        </w:tc>
      </w:tr>
    </w:tbl>
    <w:p w:rsidR="00496460" w:rsidRDefault="00496460" w:rsidP="00E3088D">
      <w:pPr>
        <w:pStyle w:val="Cuerpodelboletn"/>
        <w:spacing w:before="120" w:after="120" w:line="312" w:lineRule="auto"/>
        <w:ind w:left="360"/>
        <w:rPr>
          <w:rStyle w:val="Ttulo2Car"/>
          <w:i/>
          <w:lang w:bidi="es-ES"/>
        </w:rPr>
      </w:pPr>
    </w:p>
    <w:p w:rsidR="00496460" w:rsidRDefault="00496460">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66245B">
      <w:pPr>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5270F" w:rsidRDefault="0065270F">
                            <w:pPr>
                              <w:rPr>
                                <w:b/>
                                <w:color w:val="00642D"/>
                              </w:rPr>
                            </w:pPr>
                            <w:r w:rsidRPr="00BD4582">
                              <w:rPr>
                                <w:b/>
                                <w:color w:val="00642D"/>
                              </w:rPr>
                              <w:t>Contenidos</w:t>
                            </w:r>
                          </w:p>
                          <w:p w:rsidR="0065270F" w:rsidRDefault="0065270F"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65270F" w:rsidRDefault="0065270F" w:rsidP="00822B8D">
                            <w:pPr>
                              <w:pStyle w:val="Prrafodelista"/>
                              <w:numPr>
                                <w:ilvl w:val="0"/>
                                <w:numId w:val="6"/>
                              </w:numPr>
                              <w:spacing w:before="120" w:after="120" w:line="312" w:lineRule="auto"/>
                              <w:jc w:val="both"/>
                              <w:rPr>
                                <w:lang w:bidi="es-ES"/>
                              </w:rPr>
                            </w:pPr>
                            <w:r>
                              <w:rPr>
                                <w:lang w:bidi="es-ES"/>
                              </w:rPr>
                              <w:t>No se publica el inventario de actividades de tratamiento</w:t>
                            </w:r>
                          </w:p>
                          <w:p w:rsidR="0065270F" w:rsidRDefault="0065270F"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65270F" w:rsidRPr="00D34AC7" w:rsidRDefault="0065270F" w:rsidP="00D34AC7">
                            <w:pPr>
                              <w:pStyle w:val="Prrafodelista"/>
                              <w:numPr>
                                <w:ilvl w:val="0"/>
                                <w:numId w:val="6"/>
                              </w:numPr>
                              <w:spacing w:before="120" w:after="120" w:line="312" w:lineRule="auto"/>
                              <w:jc w:val="both"/>
                              <w:rPr>
                                <w:b/>
                                <w:color w:val="00642D"/>
                              </w:rPr>
                            </w:pPr>
                            <w:r>
                              <w:rPr>
                                <w:lang w:bidi="es-ES"/>
                              </w:rPr>
                              <w:t xml:space="preserve">No se informa sobre el perfil y trayectoria profesional de sus responsables </w:t>
                            </w:r>
                          </w:p>
                          <w:p w:rsidR="0065270F" w:rsidRDefault="006527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65270F" w:rsidRDefault="0065270F">
                      <w:pPr>
                        <w:rPr>
                          <w:b/>
                          <w:color w:val="00642D"/>
                        </w:rPr>
                      </w:pPr>
                      <w:r w:rsidRPr="00BD4582">
                        <w:rPr>
                          <w:b/>
                          <w:color w:val="00642D"/>
                        </w:rPr>
                        <w:t>Contenidos</w:t>
                      </w:r>
                    </w:p>
                    <w:p w:rsidR="0065270F" w:rsidRDefault="0065270F"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65270F" w:rsidRDefault="0065270F" w:rsidP="00822B8D">
                      <w:pPr>
                        <w:pStyle w:val="Prrafodelista"/>
                        <w:numPr>
                          <w:ilvl w:val="0"/>
                          <w:numId w:val="6"/>
                        </w:numPr>
                        <w:spacing w:before="120" w:after="120" w:line="312" w:lineRule="auto"/>
                        <w:jc w:val="both"/>
                        <w:rPr>
                          <w:lang w:bidi="es-ES"/>
                        </w:rPr>
                      </w:pPr>
                      <w:r>
                        <w:rPr>
                          <w:lang w:bidi="es-ES"/>
                        </w:rPr>
                        <w:t>No se publica el inventario de actividades de tratamiento</w:t>
                      </w:r>
                    </w:p>
                    <w:p w:rsidR="0065270F" w:rsidRDefault="0065270F"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65270F" w:rsidRPr="00D34AC7" w:rsidRDefault="0065270F" w:rsidP="00D34AC7">
                      <w:pPr>
                        <w:pStyle w:val="Prrafodelista"/>
                        <w:numPr>
                          <w:ilvl w:val="0"/>
                          <w:numId w:val="6"/>
                        </w:numPr>
                        <w:spacing w:before="120" w:after="120" w:line="312" w:lineRule="auto"/>
                        <w:jc w:val="both"/>
                        <w:rPr>
                          <w:b/>
                          <w:color w:val="00642D"/>
                        </w:rPr>
                      </w:pPr>
                      <w:r>
                        <w:rPr>
                          <w:lang w:bidi="es-ES"/>
                        </w:rPr>
                        <w:t xml:space="preserve">No se informa sobre el perfil y trayectoria profesional de sus responsables </w:t>
                      </w:r>
                    </w:p>
                    <w:p w:rsidR="0065270F" w:rsidRDefault="0065270F"/>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rsidP="001561A4">
      <w:pPr>
        <w:pStyle w:val="Cuerpodelboletn"/>
        <w:spacing w:before="120" w:after="120" w:line="312" w:lineRule="auto"/>
        <w:ind w:left="360"/>
        <w:rPr>
          <w:rStyle w:val="Ttulo2Car"/>
          <w:lang w:bidi="es-ES"/>
        </w:rPr>
      </w:pPr>
    </w:p>
    <w:p w:rsidR="00496460" w:rsidRDefault="00496460">
      <w:pPr>
        <w:rPr>
          <w:rStyle w:val="Ttulo2Car"/>
          <w:lang w:bidi="es-ES"/>
        </w:rPr>
      </w:pPr>
      <w:r>
        <w:rPr>
          <w:rStyle w:val="Ttulo2Car"/>
          <w:lang w:bidi="es-ES"/>
        </w:rPr>
        <w:br w:type="page"/>
      </w:r>
    </w:p>
    <w:p w:rsidR="00496460" w:rsidRDefault="00496460"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BB2A7C" w:rsidP="009609E9">
            <w:pPr>
              <w:pStyle w:val="Cuerpodelboletn"/>
              <w:spacing w:before="120" w:after="120" w:line="312" w:lineRule="auto"/>
              <w:rPr>
                <w:rStyle w:val="Ttulo2Car"/>
                <w:sz w:val="20"/>
                <w:szCs w:val="20"/>
                <w:lang w:bidi="es-ES"/>
              </w:rPr>
            </w:pPr>
            <w:r w:rsidRPr="00496460">
              <w:rPr>
                <w:bC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BB2A7C" w:rsidP="00BB2A7C">
            <w:pPr>
              <w:pStyle w:val="Cuerpodelboletn"/>
              <w:spacing w:before="120" w:after="120" w:line="312" w:lineRule="auto"/>
              <w:rPr>
                <w:rStyle w:val="Ttulo2Car"/>
                <w:sz w:val="20"/>
                <w:szCs w:val="20"/>
                <w:lang w:bidi="es-ES"/>
              </w:rPr>
            </w:pPr>
            <w:r>
              <w:rPr>
                <w:sz w:val="20"/>
                <w:szCs w:val="20"/>
              </w:rPr>
              <w:t>No aplicable</w:t>
            </w:r>
            <w:r w:rsidR="00F63ED4">
              <w:rPr>
                <w:sz w:val="20"/>
                <w:szCs w:val="20"/>
              </w:rPr>
              <w:t xml:space="preserve">. En el </w:t>
            </w:r>
            <w:r w:rsidR="00F63ED4" w:rsidRPr="00F63ED4">
              <w:rPr>
                <w:sz w:val="20"/>
                <w:szCs w:val="20"/>
              </w:rPr>
              <w:t xml:space="preserve">acceso de Transparencia </w:t>
            </w:r>
            <w:r w:rsidR="00F63ED4">
              <w:rPr>
                <w:sz w:val="20"/>
                <w:szCs w:val="20"/>
              </w:rPr>
              <w:t>s</w:t>
            </w:r>
            <w:r w:rsidR="00F63ED4" w:rsidRPr="00F63ED4">
              <w:rPr>
                <w:sz w:val="20"/>
                <w:szCs w:val="20"/>
              </w:rPr>
              <w:t xml:space="preserve">e informa que </w:t>
            </w:r>
            <w:r w:rsidR="00F63ED4">
              <w:rPr>
                <w:sz w:val="20"/>
                <w:szCs w:val="20"/>
              </w:rPr>
              <w:t>“</w:t>
            </w:r>
            <w:r w:rsidR="00F63ED4" w:rsidRPr="00F63ED4">
              <w:rPr>
                <w:i/>
                <w:sz w:val="20"/>
                <w:szCs w:val="20"/>
              </w:rPr>
              <w:t>El Colegio Oficial de Ingenieros de Montes no posee contratos sujetos a Derecho Administrativo, pues no le resulta de aplicación la Ley de Contratos del Sector Público</w:t>
            </w:r>
            <w:r w:rsidR="00F63ED4">
              <w:rPr>
                <w:sz w:val="20"/>
                <w:szCs w:val="20"/>
              </w:rPr>
              <w:t>”</w:t>
            </w:r>
            <w:r w:rsidR="00F63ED4" w:rsidRPr="00F63ED4">
              <w:rPr>
                <w:sz w:val="20"/>
                <w:szCs w:val="20"/>
              </w:rPr>
              <w:t xml:space="preserve">. </w:t>
            </w:r>
          </w:p>
        </w:tc>
      </w:tr>
      <w:tr w:rsidR="00BB2A7C" w:rsidRPr="00CB5511" w:rsidTr="00F47C3B">
        <w:tc>
          <w:tcPr>
            <w:tcW w:w="1024" w:type="dxa"/>
            <w:vMerge/>
            <w:tcBorders>
              <w:right w:val="single" w:sz="4" w:space="0" w:color="00642D"/>
            </w:tcBorders>
            <w:shd w:val="clear" w:color="auto" w:fill="00642D"/>
          </w:tcPr>
          <w:p w:rsidR="00BB2A7C" w:rsidRPr="00E34195" w:rsidRDefault="00BB2A7C"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B2A7C" w:rsidRPr="006A2766" w:rsidRDefault="00BB2A7C"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BB2A7C" w:rsidRDefault="00BB2A7C">
            <w:r w:rsidRPr="000453E4">
              <w:rPr>
                <w:bCs/>
              </w:rPr>
              <w:t>x</w:t>
            </w:r>
          </w:p>
        </w:tc>
        <w:tc>
          <w:tcPr>
            <w:tcW w:w="5329" w:type="dxa"/>
            <w:tcBorders>
              <w:top w:val="single" w:sz="4" w:space="0" w:color="00642D"/>
              <w:left w:val="single" w:sz="4" w:space="0" w:color="00642D"/>
              <w:bottom w:val="single" w:sz="4" w:space="0" w:color="00642D"/>
              <w:right w:val="single" w:sz="4" w:space="0" w:color="00642D"/>
            </w:tcBorders>
          </w:tcPr>
          <w:p w:rsidR="00BB2A7C" w:rsidRPr="00F63ED4" w:rsidRDefault="00BB2A7C" w:rsidP="009609E9">
            <w:pPr>
              <w:pStyle w:val="Cuerpodelboletn"/>
              <w:spacing w:before="120" w:after="120" w:line="312" w:lineRule="auto"/>
              <w:rPr>
                <w:rStyle w:val="Ttulo2Car"/>
                <w:sz w:val="20"/>
                <w:szCs w:val="20"/>
                <w:lang w:bidi="es-ES"/>
              </w:rPr>
            </w:pPr>
            <w:r>
              <w:rPr>
                <w:sz w:val="20"/>
                <w:szCs w:val="20"/>
              </w:rPr>
              <w:t>No aplicable</w:t>
            </w:r>
          </w:p>
        </w:tc>
      </w:tr>
      <w:tr w:rsidR="00BB2A7C" w:rsidRPr="00CB5511" w:rsidTr="00F47C3B">
        <w:tc>
          <w:tcPr>
            <w:tcW w:w="1024" w:type="dxa"/>
            <w:vMerge/>
            <w:tcBorders>
              <w:right w:val="single" w:sz="4" w:space="0" w:color="00642D"/>
            </w:tcBorders>
            <w:shd w:val="clear" w:color="auto" w:fill="00642D"/>
          </w:tcPr>
          <w:p w:rsidR="00BB2A7C" w:rsidRPr="00E34195" w:rsidRDefault="00BB2A7C"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B2A7C" w:rsidRPr="006A2766" w:rsidRDefault="00BB2A7C"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BB2A7C" w:rsidRDefault="00BB2A7C">
            <w:r w:rsidRPr="000453E4">
              <w:rPr>
                <w:bCs/>
              </w:rPr>
              <w:t>x</w:t>
            </w:r>
          </w:p>
        </w:tc>
        <w:tc>
          <w:tcPr>
            <w:tcW w:w="5329" w:type="dxa"/>
            <w:tcBorders>
              <w:top w:val="single" w:sz="4" w:space="0" w:color="00642D"/>
              <w:left w:val="single" w:sz="4" w:space="0" w:color="00642D"/>
              <w:bottom w:val="single" w:sz="4" w:space="0" w:color="00642D"/>
              <w:right w:val="single" w:sz="4" w:space="0" w:color="00642D"/>
            </w:tcBorders>
          </w:tcPr>
          <w:p w:rsidR="00BB2A7C" w:rsidRPr="00F63ED4" w:rsidRDefault="00BB2A7C" w:rsidP="009609E9">
            <w:pPr>
              <w:pStyle w:val="Cuerpodelboletn"/>
              <w:spacing w:before="120" w:after="120" w:line="312" w:lineRule="auto"/>
              <w:rPr>
                <w:rStyle w:val="Ttulo2Car"/>
                <w:sz w:val="20"/>
                <w:szCs w:val="20"/>
                <w:lang w:bidi="es-ES"/>
              </w:rPr>
            </w:pPr>
            <w:r w:rsidRPr="00BB2A7C">
              <w:rPr>
                <w:sz w:val="20"/>
                <w:szCs w:val="20"/>
              </w:rPr>
              <w:t>No aplicable</w:t>
            </w:r>
          </w:p>
        </w:tc>
      </w:tr>
      <w:tr w:rsidR="00BB2A7C" w:rsidRPr="00CB5511" w:rsidTr="00F47C3B">
        <w:tc>
          <w:tcPr>
            <w:tcW w:w="1024" w:type="dxa"/>
            <w:vMerge/>
            <w:tcBorders>
              <w:right w:val="single" w:sz="4" w:space="0" w:color="00642D"/>
            </w:tcBorders>
            <w:shd w:val="clear" w:color="auto" w:fill="00642D"/>
          </w:tcPr>
          <w:p w:rsidR="00BB2A7C" w:rsidRPr="00E34195" w:rsidRDefault="00BB2A7C"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B2A7C" w:rsidRPr="006A2766" w:rsidRDefault="00BB2A7C"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BB2A7C" w:rsidRDefault="00BB2A7C">
            <w:r w:rsidRPr="000453E4">
              <w:rPr>
                <w:bCs/>
              </w:rPr>
              <w:t>x</w:t>
            </w:r>
          </w:p>
        </w:tc>
        <w:tc>
          <w:tcPr>
            <w:tcW w:w="5329" w:type="dxa"/>
            <w:tcBorders>
              <w:top w:val="single" w:sz="4" w:space="0" w:color="00642D"/>
              <w:left w:val="single" w:sz="4" w:space="0" w:color="00642D"/>
              <w:bottom w:val="single" w:sz="4" w:space="0" w:color="00642D"/>
              <w:right w:val="single" w:sz="4" w:space="0" w:color="00642D"/>
            </w:tcBorders>
          </w:tcPr>
          <w:p w:rsidR="00BB2A7C" w:rsidRPr="00F63ED4" w:rsidRDefault="00BB2A7C" w:rsidP="009609E9">
            <w:pPr>
              <w:pStyle w:val="Cuerpodelboletn"/>
              <w:spacing w:before="120" w:after="120" w:line="312" w:lineRule="auto"/>
              <w:rPr>
                <w:rStyle w:val="Ttulo2Car"/>
                <w:sz w:val="20"/>
                <w:szCs w:val="20"/>
                <w:lang w:bidi="es-ES"/>
              </w:rPr>
            </w:pPr>
            <w:r w:rsidRPr="00BB2A7C">
              <w:rPr>
                <w:sz w:val="20"/>
                <w:szCs w:val="20"/>
              </w:rPr>
              <w:t>No aplicable</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496460" w:rsidP="009609E9">
            <w:pPr>
              <w:pStyle w:val="Cuerpodelboletn"/>
              <w:spacing w:before="120" w:after="120" w:line="312" w:lineRule="auto"/>
              <w:rPr>
                <w:rStyle w:val="Ttulo2Car"/>
                <w:b w:val="0"/>
                <w:sz w:val="28"/>
                <w:szCs w:val="28"/>
                <w:lang w:bidi="es-ES"/>
              </w:rPr>
            </w:pPr>
            <w:r w:rsidRPr="00496460">
              <w:rPr>
                <w:bC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F63ED4" w:rsidRDefault="00496460" w:rsidP="00496460">
            <w:pPr>
              <w:pStyle w:val="Cuerpodelboletn"/>
              <w:spacing w:before="120" w:after="120" w:line="312" w:lineRule="auto"/>
              <w:rPr>
                <w:rStyle w:val="Ttulo2Car"/>
                <w:sz w:val="20"/>
                <w:szCs w:val="20"/>
                <w:lang w:bidi="es-ES"/>
              </w:rPr>
            </w:pPr>
            <w:r w:rsidRPr="00F63ED4">
              <w:rPr>
                <w:sz w:val="20"/>
                <w:szCs w:val="20"/>
              </w:rPr>
              <w:t xml:space="preserve">En el acceso de Transparencia, en la parte dedicada a la información económica se señala lo siguiente: </w:t>
            </w:r>
            <w:r w:rsidRPr="00F63ED4">
              <w:rPr>
                <w:i/>
                <w:sz w:val="20"/>
                <w:szCs w:val="20"/>
              </w:rPr>
              <w:t>El Colegio Oficial de Ingenieros de Montes no posee en la actualidad convenios sujetos a Derecho Administrativo</w:t>
            </w:r>
            <w:r w:rsidR="00D732B3" w:rsidRPr="00F63ED4">
              <w:rPr>
                <w:sz w:val="20"/>
                <w:szCs w:val="20"/>
              </w:rPr>
              <w:t xml:space="preserve">. </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F63ED4">
              <w:rPr>
                <w:sz w:val="20"/>
                <w:szCs w:val="20"/>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105AEA" w:rsidRDefault="00105AEA" w:rsidP="009609E9">
            <w:pPr>
              <w:pStyle w:val="Cuerpodelboletn"/>
              <w:spacing w:before="120" w:after="120" w:line="312" w:lineRule="auto"/>
              <w:rPr>
                <w:b/>
              </w:rPr>
            </w:pPr>
            <w:r w:rsidRPr="00105AEA">
              <w:rPr>
                <w:bCs/>
              </w:rPr>
              <w:t>x</w:t>
            </w:r>
          </w:p>
        </w:tc>
        <w:tc>
          <w:tcPr>
            <w:tcW w:w="5329" w:type="dxa"/>
            <w:tcBorders>
              <w:top w:val="single" w:sz="4" w:space="0" w:color="00642D"/>
              <w:left w:val="single" w:sz="4" w:space="0" w:color="00642D"/>
              <w:bottom w:val="single" w:sz="4" w:space="0" w:color="00642D"/>
              <w:right w:val="single" w:sz="4" w:space="0" w:color="00642D"/>
            </w:tcBorders>
          </w:tcPr>
          <w:p w:rsidR="00F63ED4" w:rsidRPr="00105AEA" w:rsidRDefault="00F63ED4" w:rsidP="00F63ED4">
            <w:pPr>
              <w:pStyle w:val="Cuerpodelboletn"/>
              <w:spacing w:before="120" w:after="120" w:line="312" w:lineRule="auto"/>
              <w:rPr>
                <w:b/>
              </w:rPr>
            </w:pPr>
            <w:r w:rsidRPr="00105AEA">
              <w:rPr>
                <w:bCs/>
                <w:sz w:val="20"/>
                <w:szCs w:val="20"/>
              </w:rPr>
              <w:t>En el acceso de Transparencia, en la parte dedicada a la información económica se indica que “el COIM no ha recibido ninguna ayuda ni subvención pública en los ejercicios 2019 y 2020”. Y también de que “El Colegio Oficial de Ingenieros de Montes no concede ayudas públicas ni subvenciones conforme a la Ley General de Subvenciones”.</w:t>
            </w:r>
          </w:p>
        </w:tc>
      </w:tr>
    </w:tbl>
    <w:p w:rsidR="00856435" w:rsidRDefault="00856435" w:rsidP="00C33A23">
      <w:pPr>
        <w:pStyle w:val="Cuerpodelboletn"/>
        <w:spacing w:before="120" w:after="120" w:line="312" w:lineRule="auto"/>
        <w:ind w:left="360"/>
        <w:rPr>
          <w:rStyle w:val="Ttulo2Car"/>
          <w:color w:val="00642D"/>
          <w:lang w:bidi="es-ES"/>
        </w:rPr>
      </w:pPr>
    </w:p>
    <w:p w:rsidR="00C33A23" w:rsidRPr="00C33A23" w:rsidRDefault="00C33A23" w:rsidP="00F63ED4">
      <w:pPr>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w:lastRenderedPageBreak/>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5270F" w:rsidRPr="00F63ED4" w:rsidRDefault="0065270F" w:rsidP="00F63ED4">
                            <w:pPr>
                              <w:spacing w:before="120" w:after="120" w:line="312" w:lineRule="auto"/>
                              <w:jc w:val="both"/>
                              <w:rPr>
                                <w:sz w:val="20"/>
                                <w:szCs w:val="20"/>
                                <w:lang w:bidi="es-ES"/>
                              </w:rPr>
                            </w:pPr>
                            <w:r w:rsidRPr="00F63ED4">
                              <w:rPr>
                                <w:sz w:val="20"/>
                                <w:szCs w:val="20"/>
                                <w:lang w:bidi="es-ES"/>
                              </w:rPr>
                              <w:t xml:space="preserve">Los </w:t>
                            </w:r>
                            <w:r w:rsidRPr="00F63ED4">
                              <w:rPr>
                                <w:b/>
                                <w:color w:val="00B050"/>
                                <w:sz w:val="20"/>
                                <w:szCs w:val="2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65270F" w:rsidRPr="00F63ED4" w:rsidRDefault="0065270F" w:rsidP="00F63ED4">
                            <w:pPr>
                              <w:pStyle w:val="Prrafodelista"/>
                              <w:numPr>
                                <w:ilvl w:val="0"/>
                                <w:numId w:val="21"/>
                              </w:numPr>
                              <w:spacing w:before="120" w:after="120" w:line="312" w:lineRule="auto"/>
                              <w:jc w:val="both"/>
                              <w:rPr>
                                <w:b/>
                                <w:color w:val="00642D"/>
                                <w:sz w:val="20"/>
                                <w:szCs w:val="20"/>
                              </w:rPr>
                            </w:pPr>
                            <w:r w:rsidRPr="00F63ED4">
                              <w:rPr>
                                <w:sz w:val="20"/>
                                <w:szCs w:val="20"/>
                              </w:rPr>
                              <w:t>No se informa sobre encomiendas de gestión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65270F" w:rsidRPr="00F63ED4" w:rsidRDefault="0065270F" w:rsidP="00F63ED4">
                      <w:pPr>
                        <w:spacing w:before="120" w:after="120" w:line="312" w:lineRule="auto"/>
                        <w:jc w:val="both"/>
                        <w:rPr>
                          <w:sz w:val="20"/>
                          <w:szCs w:val="20"/>
                          <w:lang w:bidi="es-ES"/>
                        </w:rPr>
                      </w:pPr>
                      <w:r w:rsidRPr="00F63ED4">
                        <w:rPr>
                          <w:sz w:val="20"/>
                          <w:szCs w:val="20"/>
                          <w:lang w:bidi="es-ES"/>
                        </w:rPr>
                        <w:t xml:space="preserve">Los </w:t>
                      </w:r>
                      <w:r w:rsidRPr="00F63ED4">
                        <w:rPr>
                          <w:b/>
                          <w:color w:val="00B050"/>
                          <w:sz w:val="20"/>
                          <w:szCs w:val="2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65270F" w:rsidRPr="00F63ED4" w:rsidRDefault="0065270F" w:rsidP="00F63ED4">
                      <w:pPr>
                        <w:pStyle w:val="Prrafodelista"/>
                        <w:numPr>
                          <w:ilvl w:val="0"/>
                          <w:numId w:val="21"/>
                        </w:numPr>
                        <w:spacing w:before="120" w:after="120" w:line="312" w:lineRule="auto"/>
                        <w:jc w:val="both"/>
                        <w:rPr>
                          <w:b/>
                          <w:color w:val="00642D"/>
                          <w:sz w:val="20"/>
                          <w:szCs w:val="20"/>
                        </w:rPr>
                      </w:pPr>
                      <w:r w:rsidRPr="00F63ED4">
                        <w:rPr>
                          <w:sz w:val="20"/>
                          <w:szCs w:val="20"/>
                        </w:rPr>
                        <w:t>No se informa sobre encomiendas de gestión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F63ED4" w:rsidRDefault="00F63ED4" w:rsidP="00C33A23">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27292" w:rsidRPr="00FD0689" w:rsidTr="0042729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27292" w:rsidRPr="00FD0689" w:rsidRDefault="00427292"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112467"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57,1</w:t>
            </w:r>
          </w:p>
        </w:tc>
        <w:tc>
          <w:tcPr>
            <w:tcW w:w="0" w:type="auto"/>
            <w:noWrap/>
            <w:vAlign w:val="center"/>
          </w:tcPr>
          <w:p w:rsidR="00427292" w:rsidRPr="00427292" w:rsidRDefault="00427292"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7292">
              <w:rPr>
                <w:sz w:val="18"/>
                <w:szCs w:val="18"/>
              </w:rPr>
              <w:t>57,1</w:t>
            </w:r>
          </w:p>
        </w:tc>
        <w:tc>
          <w:tcPr>
            <w:tcW w:w="0" w:type="auto"/>
            <w:noWrap/>
            <w:vAlign w:val="center"/>
          </w:tcPr>
          <w:p w:rsidR="00427292" w:rsidRPr="00427292" w:rsidRDefault="00112467" w:rsidP="00427292">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57</w:t>
            </w:r>
            <w:r w:rsidR="00427292" w:rsidRPr="00427292">
              <w:rPr>
                <w:sz w:val="18"/>
                <w:szCs w:val="18"/>
              </w:rPr>
              <w:t>,1</w:t>
            </w:r>
          </w:p>
        </w:tc>
      </w:tr>
      <w:tr w:rsidR="00427292" w:rsidRPr="00FD0689" w:rsidTr="00427292">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27292" w:rsidRPr="00FD0689" w:rsidRDefault="00427292"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c>
          <w:tcPr>
            <w:tcW w:w="0" w:type="auto"/>
            <w:noWrap/>
            <w:vAlign w:val="center"/>
          </w:tcPr>
          <w:p w:rsidR="00427292" w:rsidRPr="00427292" w:rsidRDefault="00427292" w:rsidP="00427292">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7292">
              <w:rPr>
                <w:sz w:val="18"/>
                <w:szCs w:val="18"/>
              </w:rPr>
              <w:t>0,0</w:t>
            </w:r>
          </w:p>
        </w:tc>
      </w:tr>
      <w:tr w:rsidR="0065270F" w:rsidRPr="00A94BCA" w:rsidTr="0065270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5270F" w:rsidRPr="002A154B" w:rsidRDefault="0065270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5270F" w:rsidRPr="0065270F" w:rsidRDefault="0065270F" w:rsidP="0065270F">
            <w:pPr>
              <w:jc w:val="center"/>
              <w:cnfStyle w:val="000000100000" w:firstRow="0" w:lastRow="0" w:firstColumn="0" w:lastColumn="0" w:oddVBand="0" w:evenVBand="0" w:oddHBand="1" w:evenHBand="0" w:firstRowFirstColumn="0" w:firstRowLastColumn="0" w:lastRowFirstColumn="0" w:lastRowLastColumn="0"/>
              <w:rPr>
                <w:b/>
                <w:i/>
              </w:rPr>
            </w:pPr>
            <w:r w:rsidRPr="0065270F">
              <w:rPr>
                <w:b/>
                <w:i/>
              </w:rPr>
              <w:t>50,0</w:t>
            </w:r>
          </w:p>
        </w:tc>
        <w:tc>
          <w:tcPr>
            <w:tcW w:w="0" w:type="auto"/>
            <w:noWrap/>
            <w:vAlign w:val="center"/>
          </w:tcPr>
          <w:p w:rsidR="0065270F" w:rsidRPr="0065270F" w:rsidRDefault="0065270F" w:rsidP="0065270F">
            <w:pPr>
              <w:jc w:val="center"/>
              <w:cnfStyle w:val="000000100000" w:firstRow="0" w:lastRow="0" w:firstColumn="0" w:lastColumn="0" w:oddVBand="0" w:evenVBand="0" w:oddHBand="1" w:evenHBand="0" w:firstRowFirstColumn="0" w:firstRowLastColumn="0" w:lastRowFirstColumn="0" w:lastRowLastColumn="0"/>
              <w:rPr>
                <w:b/>
                <w:i/>
              </w:rPr>
            </w:pPr>
            <w:r w:rsidRPr="0065270F">
              <w:rPr>
                <w:b/>
                <w:i/>
              </w:rPr>
              <w:t>50,0</w:t>
            </w:r>
          </w:p>
        </w:tc>
        <w:tc>
          <w:tcPr>
            <w:tcW w:w="0" w:type="auto"/>
            <w:noWrap/>
            <w:vAlign w:val="center"/>
          </w:tcPr>
          <w:p w:rsidR="0065270F" w:rsidRPr="0065270F" w:rsidRDefault="0065270F" w:rsidP="0065270F">
            <w:pPr>
              <w:jc w:val="center"/>
              <w:cnfStyle w:val="000000100000" w:firstRow="0" w:lastRow="0" w:firstColumn="0" w:lastColumn="0" w:oddVBand="0" w:evenVBand="0" w:oddHBand="1" w:evenHBand="0" w:firstRowFirstColumn="0" w:firstRowLastColumn="0" w:lastRowFirstColumn="0" w:lastRowLastColumn="0"/>
              <w:rPr>
                <w:b/>
                <w:i/>
              </w:rPr>
            </w:pPr>
            <w:r w:rsidRPr="0065270F">
              <w:rPr>
                <w:b/>
                <w:i/>
              </w:rPr>
              <w:t>50,0</w:t>
            </w:r>
          </w:p>
        </w:tc>
        <w:tc>
          <w:tcPr>
            <w:tcW w:w="0" w:type="auto"/>
            <w:noWrap/>
            <w:vAlign w:val="center"/>
          </w:tcPr>
          <w:p w:rsidR="0065270F" w:rsidRPr="0065270F" w:rsidRDefault="0065270F" w:rsidP="0065270F">
            <w:pPr>
              <w:jc w:val="center"/>
              <w:cnfStyle w:val="000000100000" w:firstRow="0" w:lastRow="0" w:firstColumn="0" w:lastColumn="0" w:oddVBand="0" w:evenVBand="0" w:oddHBand="1" w:evenHBand="0" w:firstRowFirstColumn="0" w:firstRowLastColumn="0" w:lastRowFirstColumn="0" w:lastRowLastColumn="0"/>
              <w:rPr>
                <w:b/>
                <w:i/>
              </w:rPr>
            </w:pPr>
            <w:r w:rsidRPr="0065270F">
              <w:rPr>
                <w:b/>
                <w:i/>
              </w:rPr>
              <w:t>50,0</w:t>
            </w:r>
          </w:p>
        </w:tc>
        <w:tc>
          <w:tcPr>
            <w:tcW w:w="0" w:type="auto"/>
            <w:noWrap/>
            <w:vAlign w:val="center"/>
          </w:tcPr>
          <w:p w:rsidR="0065270F" w:rsidRPr="0065270F" w:rsidRDefault="0065270F" w:rsidP="0065270F">
            <w:pPr>
              <w:jc w:val="center"/>
              <w:cnfStyle w:val="000000100000" w:firstRow="0" w:lastRow="0" w:firstColumn="0" w:lastColumn="0" w:oddVBand="0" w:evenVBand="0" w:oddHBand="1" w:evenHBand="0" w:firstRowFirstColumn="0" w:firstRowLastColumn="0" w:lastRowFirstColumn="0" w:lastRowLastColumn="0"/>
              <w:rPr>
                <w:b/>
                <w:i/>
              </w:rPr>
            </w:pPr>
            <w:r w:rsidRPr="0065270F">
              <w:rPr>
                <w:b/>
                <w:i/>
              </w:rPr>
              <w:t>50,0</w:t>
            </w:r>
          </w:p>
        </w:tc>
        <w:tc>
          <w:tcPr>
            <w:tcW w:w="0" w:type="auto"/>
            <w:noWrap/>
            <w:vAlign w:val="center"/>
          </w:tcPr>
          <w:p w:rsidR="0065270F" w:rsidRPr="0065270F" w:rsidRDefault="00112467" w:rsidP="0065270F">
            <w:pPr>
              <w:jc w:val="center"/>
              <w:cnfStyle w:val="000000100000" w:firstRow="0" w:lastRow="0" w:firstColumn="0" w:lastColumn="0" w:oddVBand="0" w:evenVBand="0" w:oddHBand="1" w:evenHBand="0" w:firstRowFirstColumn="0" w:firstRowLastColumn="0" w:lastRowFirstColumn="0" w:lastRowLastColumn="0"/>
              <w:rPr>
                <w:b/>
                <w:i/>
              </w:rPr>
            </w:pPr>
            <w:r>
              <w:rPr>
                <w:b/>
                <w:i/>
              </w:rPr>
              <w:t>50,</w:t>
            </w:r>
            <w:r w:rsidR="0065270F" w:rsidRPr="0065270F">
              <w:rPr>
                <w:b/>
                <w:i/>
              </w:rPr>
              <w:t>0</w:t>
            </w:r>
          </w:p>
        </w:tc>
        <w:tc>
          <w:tcPr>
            <w:tcW w:w="0" w:type="auto"/>
            <w:noWrap/>
            <w:vAlign w:val="center"/>
          </w:tcPr>
          <w:p w:rsidR="0065270F" w:rsidRPr="0065270F" w:rsidRDefault="0065270F" w:rsidP="0065270F">
            <w:pPr>
              <w:jc w:val="center"/>
              <w:cnfStyle w:val="000000100000" w:firstRow="0" w:lastRow="0" w:firstColumn="0" w:lastColumn="0" w:oddVBand="0" w:evenVBand="0" w:oddHBand="1" w:evenHBand="0" w:firstRowFirstColumn="0" w:firstRowLastColumn="0" w:lastRowFirstColumn="0" w:lastRowLastColumn="0"/>
              <w:rPr>
                <w:b/>
                <w:i/>
              </w:rPr>
            </w:pPr>
            <w:r w:rsidRPr="0065270F">
              <w:rPr>
                <w:b/>
                <w:i/>
              </w:rPr>
              <w:t>50,0</w:t>
            </w:r>
          </w:p>
        </w:tc>
        <w:tc>
          <w:tcPr>
            <w:tcW w:w="0" w:type="auto"/>
            <w:noWrap/>
            <w:vAlign w:val="center"/>
          </w:tcPr>
          <w:p w:rsidR="0065270F" w:rsidRPr="0065270F" w:rsidRDefault="00112467" w:rsidP="0065270F">
            <w:pPr>
              <w:jc w:val="center"/>
              <w:cnfStyle w:val="000000100000" w:firstRow="0" w:lastRow="0" w:firstColumn="0" w:lastColumn="0" w:oddVBand="0" w:evenVBand="0" w:oddHBand="1" w:evenHBand="0" w:firstRowFirstColumn="0" w:firstRowLastColumn="0" w:lastRowFirstColumn="0" w:lastRowLastColumn="0"/>
              <w:rPr>
                <w:b/>
                <w:i/>
              </w:rPr>
            </w:pPr>
            <w:r>
              <w:rPr>
                <w:b/>
                <w:i/>
              </w:rPr>
              <w:t>50,</w:t>
            </w:r>
            <w:r w:rsidR="0065270F" w:rsidRPr="0065270F">
              <w:rPr>
                <w:b/>
                <w:i/>
              </w:rPr>
              <w:t>0</w:t>
            </w:r>
          </w:p>
        </w:tc>
      </w:tr>
    </w:tbl>
    <w:p w:rsidR="00BD4582" w:rsidRDefault="00BD4582" w:rsidP="00427292">
      <w:pPr>
        <w:pStyle w:val="Cuerpodelboletn"/>
        <w:spacing w:before="120" w:after="120" w:line="312" w:lineRule="auto"/>
        <w:rPr>
          <w:b/>
          <w:color w:val="50866C"/>
          <w:sz w:val="32"/>
        </w:rPr>
      </w:pPr>
    </w:p>
    <w:p w:rsidR="00427292" w:rsidRDefault="00427292" w:rsidP="00427292">
      <w:pPr>
        <w:jc w:val="both"/>
      </w:pPr>
      <w:r>
        <w:t xml:space="preserve">El Índice de Cumplimiento de la Información Obligatoria (ICIO) se sitúa en el </w:t>
      </w:r>
      <w:r w:rsidR="00112467">
        <w:t>50</w:t>
      </w:r>
      <w:r>
        <w:t xml:space="preserve">%. La falta de publicación de contenidos obligatorios – solo se publica </w:t>
      </w:r>
      <w:r w:rsidR="0065270F">
        <w:t>la mitad</w:t>
      </w:r>
      <w:r>
        <w:t xml:space="preserve"> de las informaciones obligatorias</w:t>
      </w:r>
      <w:r w:rsidR="0065270F">
        <w:t xml:space="preserve"> aplicables al COIM</w:t>
      </w:r>
      <w:r w:rsidR="009C15E9">
        <w:t xml:space="preserve"> y en el bloque</w:t>
      </w:r>
      <w:r>
        <w:t xml:space="preserve"> </w:t>
      </w:r>
      <w:r w:rsidR="009C15E9">
        <w:t>de información económica no se publica información sobre la única obligación aplicable</w:t>
      </w:r>
      <w:r>
        <w:t>–</w:t>
      </w:r>
      <w:r w:rsidR="009C15E9">
        <w:t xml:space="preserve"> </w:t>
      </w:r>
      <w:r>
        <w:t>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5270F" w:rsidRDefault="0065270F">
                            <w:pPr>
                              <w:rPr>
                                <w:b/>
                                <w:color w:val="00642D"/>
                              </w:rPr>
                            </w:pPr>
                            <w:r w:rsidRPr="002A154B">
                              <w:rPr>
                                <w:b/>
                                <w:color w:val="00642D"/>
                              </w:rPr>
                              <w:t xml:space="preserve">Transparencia </w:t>
                            </w:r>
                            <w:r>
                              <w:rPr>
                                <w:b/>
                                <w:color w:val="00642D"/>
                              </w:rPr>
                              <w:t>Voluntaria</w:t>
                            </w:r>
                          </w:p>
                          <w:p w:rsidR="0065270F" w:rsidRPr="00B103F4" w:rsidRDefault="0065270F" w:rsidP="004F3558">
                            <w:pPr>
                              <w:pStyle w:val="Cuerpodelboletn"/>
                              <w:spacing w:before="120" w:after="120" w:line="312" w:lineRule="auto"/>
                              <w:rPr>
                                <w:sz w:val="20"/>
                                <w:szCs w:val="20"/>
                              </w:rPr>
                            </w:pPr>
                            <w:r w:rsidRPr="00B103F4">
                              <w:rPr>
                                <w:sz w:val="20"/>
                                <w:szCs w:val="20"/>
                              </w:rPr>
                              <w:t>El Colegio Oficial de Ingeniería de Montes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65270F" w:rsidRPr="00B103F4" w:rsidRDefault="0065270F" w:rsidP="004F3558">
                            <w:pPr>
                              <w:pStyle w:val="Cuerpodelboletn"/>
                              <w:numPr>
                                <w:ilvl w:val="0"/>
                                <w:numId w:val="19"/>
                              </w:numPr>
                              <w:spacing w:before="120" w:after="120" w:line="312" w:lineRule="auto"/>
                              <w:rPr>
                                <w:sz w:val="20"/>
                                <w:szCs w:val="20"/>
                              </w:rPr>
                            </w:pPr>
                            <w:r w:rsidRPr="00B103F4">
                              <w:rPr>
                                <w:sz w:val="20"/>
                                <w:szCs w:val="20"/>
                              </w:rPr>
                              <w:t xml:space="preserve"> Reglamento de Régimen Interior y Código Deontológico</w:t>
                            </w:r>
                          </w:p>
                          <w:p w:rsidR="0065270F" w:rsidRPr="00B103F4" w:rsidRDefault="0065270F" w:rsidP="004F3558">
                            <w:pPr>
                              <w:pStyle w:val="Cuerpodelboletn"/>
                              <w:numPr>
                                <w:ilvl w:val="0"/>
                                <w:numId w:val="19"/>
                              </w:numPr>
                              <w:spacing w:before="120" w:after="120" w:line="312" w:lineRule="auto"/>
                              <w:rPr>
                                <w:sz w:val="20"/>
                                <w:szCs w:val="20"/>
                              </w:rPr>
                            </w:pPr>
                            <w:r w:rsidRPr="00B103F4">
                              <w:rPr>
                                <w:sz w:val="20"/>
                                <w:szCs w:val="20"/>
                              </w:rPr>
                              <w:t>Cuentas anuales abreviadas 2019</w:t>
                            </w:r>
                          </w:p>
                          <w:p w:rsidR="0065270F" w:rsidRPr="00B103F4" w:rsidRDefault="0065270F" w:rsidP="004F3558">
                            <w:pPr>
                              <w:pStyle w:val="Cuerpodelboletn"/>
                              <w:numPr>
                                <w:ilvl w:val="0"/>
                                <w:numId w:val="19"/>
                              </w:numPr>
                              <w:spacing w:before="120" w:after="120" w:line="312" w:lineRule="auto"/>
                              <w:rPr>
                                <w:sz w:val="20"/>
                                <w:szCs w:val="20"/>
                              </w:rPr>
                            </w:pPr>
                            <w:r w:rsidRPr="00B103F4">
                              <w:rPr>
                                <w:sz w:val="20"/>
                                <w:szCs w:val="20"/>
                              </w:rPr>
                              <w:t xml:space="preserve">Presupuesto ejercicio 2021 </w:t>
                            </w:r>
                          </w:p>
                          <w:p w:rsidR="0065270F" w:rsidRPr="00B103F4" w:rsidRDefault="0065270F" w:rsidP="004F3558">
                            <w:pPr>
                              <w:pStyle w:val="Cuerpodelboletn"/>
                              <w:numPr>
                                <w:ilvl w:val="0"/>
                                <w:numId w:val="19"/>
                              </w:numPr>
                              <w:spacing w:before="120" w:after="120" w:line="312" w:lineRule="auto"/>
                              <w:rPr>
                                <w:sz w:val="20"/>
                                <w:szCs w:val="20"/>
                              </w:rPr>
                            </w:pPr>
                            <w:r w:rsidRPr="00B103F4">
                              <w:rPr>
                                <w:sz w:val="20"/>
                                <w:szCs w:val="20"/>
                              </w:rPr>
                              <w:t xml:space="preserve"> Archivo histórico de cuentas anuales y presupuestos. </w:t>
                            </w:r>
                          </w:p>
                          <w:p w:rsidR="0065270F" w:rsidRPr="00B103F4" w:rsidRDefault="0065270F" w:rsidP="004F3558">
                            <w:pPr>
                              <w:pStyle w:val="Cuerpodelboletn"/>
                              <w:numPr>
                                <w:ilvl w:val="0"/>
                                <w:numId w:val="19"/>
                              </w:numPr>
                              <w:spacing w:before="120" w:after="120" w:line="312" w:lineRule="auto"/>
                              <w:rPr>
                                <w:sz w:val="20"/>
                                <w:szCs w:val="20"/>
                              </w:rPr>
                            </w:pPr>
                            <w:r w:rsidRPr="00B103F4">
                              <w:rPr>
                                <w:sz w:val="20"/>
                                <w:szCs w:val="20"/>
                              </w:rPr>
                              <w:t xml:space="preserve"> Retribuciones: no perciben retribuciones los miembros de los Órganos de Gobierno del Colegio</w:t>
                            </w:r>
                          </w:p>
                          <w:p w:rsidR="0065270F" w:rsidRPr="00B103F4" w:rsidRDefault="0065270F" w:rsidP="00050F5F">
                            <w:pPr>
                              <w:pStyle w:val="Cuerpodelboletn"/>
                              <w:numPr>
                                <w:ilvl w:val="0"/>
                                <w:numId w:val="19"/>
                              </w:numPr>
                              <w:spacing w:before="120" w:after="120" w:line="312" w:lineRule="auto"/>
                              <w:rPr>
                                <w:b/>
                                <w:color w:val="00642D"/>
                              </w:rPr>
                            </w:pPr>
                            <w:r w:rsidRPr="00B103F4">
                              <w:rPr>
                                <w:sz w:val="20"/>
                                <w:szCs w:val="20"/>
                              </w:rPr>
                              <w:t>Información estadística sobre colegiación, visado, deontología,  informes de homologación y reconocimiento, registro de peritos ingenieros de montes y control de accesos.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B103F4" w:rsidRDefault="00B103F4">
                      <w:pPr>
                        <w:rPr>
                          <w:b/>
                          <w:color w:val="00642D"/>
                        </w:rPr>
                      </w:pPr>
                      <w:r w:rsidRPr="002A154B">
                        <w:rPr>
                          <w:b/>
                          <w:color w:val="00642D"/>
                        </w:rPr>
                        <w:t xml:space="preserve">Transparencia </w:t>
                      </w:r>
                      <w:r>
                        <w:rPr>
                          <w:b/>
                          <w:color w:val="00642D"/>
                        </w:rPr>
                        <w:t>Voluntaria</w:t>
                      </w:r>
                    </w:p>
                    <w:p w:rsidR="00B103F4" w:rsidRPr="00B103F4" w:rsidRDefault="00B103F4" w:rsidP="004F3558">
                      <w:pPr>
                        <w:pStyle w:val="Cuerpodelboletn"/>
                        <w:spacing w:before="120" w:after="120" w:line="312" w:lineRule="auto"/>
                        <w:rPr>
                          <w:sz w:val="20"/>
                          <w:szCs w:val="20"/>
                        </w:rPr>
                      </w:pPr>
                      <w:r w:rsidRPr="00B103F4">
                        <w:rPr>
                          <w:sz w:val="20"/>
                          <w:szCs w:val="20"/>
                        </w:rPr>
                        <w:t>El Colegio Oficial de Ingeniería de Montes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Reglamento de Régimen Interior y Código Deontológico</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Cuentas anuales abreviadas 2019</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Presupuesto ejercicio 2021 </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Archivo histórico de cuentas anuales y presupuestos. </w:t>
                      </w:r>
                    </w:p>
                    <w:p w:rsidR="00B103F4" w:rsidRPr="00B103F4" w:rsidRDefault="00B103F4" w:rsidP="004F3558">
                      <w:pPr>
                        <w:pStyle w:val="Cuerpodelboletn"/>
                        <w:numPr>
                          <w:ilvl w:val="0"/>
                          <w:numId w:val="19"/>
                        </w:numPr>
                        <w:spacing w:before="120" w:after="120" w:line="312" w:lineRule="auto"/>
                        <w:rPr>
                          <w:sz w:val="20"/>
                          <w:szCs w:val="20"/>
                        </w:rPr>
                      </w:pPr>
                      <w:r w:rsidRPr="00B103F4">
                        <w:rPr>
                          <w:sz w:val="20"/>
                          <w:szCs w:val="20"/>
                        </w:rPr>
                        <w:t xml:space="preserve"> Retribuciones: no perciben retribuciones los miembros de los Órganos de Gobierno del Colegio</w:t>
                      </w:r>
                    </w:p>
                    <w:p w:rsidR="00B103F4" w:rsidRPr="00B103F4" w:rsidRDefault="00B103F4" w:rsidP="00050F5F">
                      <w:pPr>
                        <w:pStyle w:val="Cuerpodelboletn"/>
                        <w:numPr>
                          <w:ilvl w:val="0"/>
                          <w:numId w:val="19"/>
                        </w:numPr>
                        <w:spacing w:before="120" w:after="120" w:line="312" w:lineRule="auto"/>
                        <w:rPr>
                          <w:b/>
                          <w:color w:val="00642D"/>
                        </w:rPr>
                      </w:pPr>
                      <w:r w:rsidRPr="00B103F4">
                        <w:rPr>
                          <w:sz w:val="20"/>
                          <w:szCs w:val="20"/>
                        </w:rPr>
                        <w:t>Información estadística sobre colegiación, visado, deontología,  informes de homologación y reconocimiento, registro de peritos ingenieros de montes y control de accesos.</w:t>
                      </w:r>
                    </w:p>
                  </w:txbxContent>
                </v:textbox>
              </v:shape>
            </w:pict>
          </mc:Fallback>
        </mc:AlternateContent>
      </w:r>
    </w:p>
    <w:p w:rsidR="00932008" w:rsidRDefault="00932008"/>
    <w:p w:rsidR="00932008" w:rsidRDefault="00932008"/>
    <w:p w:rsidR="00932008" w:rsidRDefault="00932008"/>
    <w:p w:rsidR="00932008" w:rsidRDefault="00932008"/>
    <w:p w:rsidR="003A6302" w:rsidRDefault="003A6302"/>
    <w:p w:rsidR="003A6302" w:rsidRDefault="003A6302"/>
    <w:p w:rsidR="00EF62ED" w:rsidRDefault="00EF62ED"/>
    <w:p w:rsidR="004F3558" w:rsidRDefault="004F3558"/>
    <w:p w:rsidR="004F3558" w:rsidRDefault="004F3558"/>
    <w:p w:rsidR="004F3558" w:rsidRDefault="004F3558">
      <w:r w:rsidRPr="002A154B">
        <w:rPr>
          <w:noProof/>
          <w:u w:val="single"/>
        </w:rPr>
        <w:lastRenderedPageBreak/>
        <mc:AlternateContent>
          <mc:Choice Requires="wps">
            <w:drawing>
              <wp:anchor distT="0" distB="0" distL="114300" distR="114300" simplePos="0" relativeHeight="251673600" behindDoc="0" locked="0" layoutInCell="1" allowOverlap="1" wp14:anchorId="1DFCE17E" wp14:editId="09636BBA">
                <wp:simplePos x="0" y="0"/>
                <wp:positionH relativeFrom="column">
                  <wp:posOffset>38100</wp:posOffset>
                </wp:positionH>
                <wp:positionV relativeFrom="paragraph">
                  <wp:posOffset>160020</wp:posOffset>
                </wp:positionV>
                <wp:extent cx="6264910" cy="40386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038600"/>
                        </a:xfrm>
                        <a:prstGeom prst="rect">
                          <a:avLst/>
                        </a:prstGeom>
                        <a:solidFill>
                          <a:srgbClr val="FFFFFF"/>
                        </a:solidFill>
                        <a:ln w="9525">
                          <a:solidFill>
                            <a:srgbClr val="000000"/>
                          </a:solidFill>
                          <a:miter lim="800000"/>
                          <a:headEnd/>
                          <a:tailEnd/>
                        </a:ln>
                      </wps:spPr>
                      <wps:txbx>
                        <w:txbxContent>
                          <w:p w:rsidR="0065270F" w:rsidRDefault="0065270F" w:rsidP="002A154B">
                            <w:pPr>
                              <w:rPr>
                                <w:b/>
                                <w:color w:val="00642D"/>
                              </w:rPr>
                            </w:pPr>
                            <w:r>
                              <w:rPr>
                                <w:b/>
                                <w:color w:val="00642D"/>
                              </w:rPr>
                              <w:t>Buenas Prácticas</w:t>
                            </w:r>
                          </w:p>
                          <w:p w:rsidR="0065270F" w:rsidRPr="00B103F4" w:rsidRDefault="0065270F" w:rsidP="004F3558">
                            <w:pPr>
                              <w:keepNext/>
                              <w:keepLines/>
                              <w:spacing w:before="480" w:after="0"/>
                              <w:jc w:val="both"/>
                              <w:outlineLvl w:val="0"/>
                              <w:rPr>
                                <w:sz w:val="20"/>
                                <w:szCs w:val="20"/>
                              </w:rPr>
                            </w:pPr>
                            <w:r w:rsidRPr="00B103F4">
                              <w:rPr>
                                <w:sz w:val="20"/>
                                <w:szCs w:val="20"/>
                              </w:rPr>
                              <w:t>Como buenas prácticas por parte del Colegio Oficial de Ingeniería de Montes cabe reseñar las siguientes:</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La organización y presentación de la información que facilita su localización</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 xml:space="preserve">La incorporación de las fechas en que se actualizó cada una de las informaciones y con carácter general, la incorporación de la fecha en que se actualizó el Portal de Transparencia. </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La inclusión de la fecha en que se producirá la siguiente actualización de la información del Portal</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La inclusión de un texto introductorio sobre las obligaciones de transparencia de la corporación.</w:t>
                            </w:r>
                          </w:p>
                          <w:p w:rsidR="0065270F" w:rsidRPr="0065270F" w:rsidRDefault="0065270F" w:rsidP="004F3558">
                            <w:pPr>
                              <w:keepNext/>
                              <w:keepLines/>
                              <w:numPr>
                                <w:ilvl w:val="0"/>
                                <w:numId w:val="20"/>
                              </w:numPr>
                              <w:spacing w:before="120" w:after="0"/>
                              <w:ind w:left="777" w:hanging="357"/>
                              <w:jc w:val="both"/>
                              <w:outlineLvl w:val="0"/>
                            </w:pPr>
                            <w:r w:rsidRPr="00B103F4">
                              <w:rPr>
                                <w:sz w:val="20"/>
                                <w:szCs w:val="20"/>
                              </w:rPr>
                              <w:t xml:space="preserve">La </w:t>
                            </w:r>
                            <w:r>
                              <w:rPr>
                                <w:sz w:val="20"/>
                                <w:szCs w:val="20"/>
                              </w:rPr>
                              <w:t xml:space="preserve">indicación de la causa por la que determinada información obligatoria no se publica (inexistencia de información que publicar) </w:t>
                            </w:r>
                          </w:p>
                          <w:p w:rsidR="0065270F" w:rsidRPr="00112467" w:rsidRDefault="0065270F" w:rsidP="0065270F">
                            <w:pPr>
                              <w:keepNext/>
                              <w:keepLines/>
                              <w:numPr>
                                <w:ilvl w:val="0"/>
                                <w:numId w:val="20"/>
                              </w:numPr>
                              <w:spacing w:before="120" w:after="0"/>
                              <w:jc w:val="both"/>
                              <w:outlineLvl w:val="0"/>
                              <w:rPr>
                                <w:sz w:val="20"/>
                                <w:szCs w:val="20"/>
                              </w:rPr>
                            </w:pPr>
                            <w:r w:rsidRPr="0065270F">
                              <w:rPr>
                                <w:sz w:val="20"/>
                                <w:szCs w:val="20"/>
                              </w:rPr>
                              <w:t>La habilitación de un espacio específico en el que informar sobre la materia de transparencia y que contiene, entre otras, la LTAIBG y un enlace a la página web</w:t>
                            </w:r>
                            <w:r w:rsidRPr="0065270F">
                              <w:t xml:space="preserve"> </w:t>
                            </w:r>
                            <w:r w:rsidRPr="00112467">
                              <w:rPr>
                                <w:sz w:val="20"/>
                                <w:szCs w:val="20"/>
                              </w:rPr>
                              <w:t>del CTBG.</w:t>
                            </w:r>
                          </w:p>
                          <w:p w:rsidR="0065270F" w:rsidRPr="002A154B" w:rsidRDefault="0065270F" w:rsidP="004F3558">
                            <w:pPr>
                              <w:pStyle w:val="Ttulo1"/>
                              <w:jc w:val="both"/>
                              <w:rPr>
                                <w:b w:val="0"/>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pt;margin-top:12.6pt;width:493.3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">
                <v:textbox>
                  <w:txbxContent>
                    <w:p w:rsidR="0065270F" w:rsidRDefault="0065270F" w:rsidP="002A154B">
                      <w:pPr>
                        <w:rPr>
                          <w:b/>
                          <w:color w:val="00642D"/>
                        </w:rPr>
                      </w:pPr>
                      <w:r>
                        <w:rPr>
                          <w:b/>
                          <w:color w:val="00642D"/>
                        </w:rPr>
                        <w:t>Buenas Prácticas</w:t>
                      </w:r>
                    </w:p>
                    <w:p w:rsidR="0065270F" w:rsidRPr="00B103F4" w:rsidRDefault="0065270F" w:rsidP="004F3558">
                      <w:pPr>
                        <w:keepNext/>
                        <w:keepLines/>
                        <w:spacing w:before="480" w:after="0"/>
                        <w:jc w:val="both"/>
                        <w:outlineLvl w:val="0"/>
                        <w:rPr>
                          <w:sz w:val="20"/>
                          <w:szCs w:val="20"/>
                        </w:rPr>
                      </w:pPr>
                      <w:r w:rsidRPr="00B103F4">
                        <w:rPr>
                          <w:sz w:val="20"/>
                          <w:szCs w:val="20"/>
                        </w:rPr>
                        <w:t>Como buenas prácticas por parte del Colegio Oficial de Ingeniería de Montes cabe reseñar las siguientes:</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La organización y presentación de la información que facilita su localización</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 xml:space="preserve">La incorporación de las fechas en que se actualizó cada una de las informaciones y con carácter general, la incorporación de la fecha en que se actualizó el Portal de Transparencia. </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La inclusión de la fecha en que se producirá la siguiente actualización de la información del Portal</w:t>
                      </w:r>
                    </w:p>
                    <w:p w:rsidR="0065270F" w:rsidRPr="00B103F4" w:rsidRDefault="0065270F" w:rsidP="004F3558">
                      <w:pPr>
                        <w:keepNext/>
                        <w:keepLines/>
                        <w:numPr>
                          <w:ilvl w:val="0"/>
                          <w:numId w:val="20"/>
                        </w:numPr>
                        <w:spacing w:before="120" w:after="0"/>
                        <w:ind w:left="777" w:hanging="357"/>
                        <w:jc w:val="both"/>
                        <w:outlineLvl w:val="0"/>
                        <w:rPr>
                          <w:sz w:val="20"/>
                          <w:szCs w:val="20"/>
                        </w:rPr>
                      </w:pPr>
                      <w:r w:rsidRPr="00B103F4">
                        <w:rPr>
                          <w:sz w:val="20"/>
                          <w:szCs w:val="20"/>
                        </w:rPr>
                        <w:t>La inclusión de un texto introductorio sobre las obligaciones de transparencia de la corporación.</w:t>
                      </w:r>
                    </w:p>
                    <w:p w:rsidR="0065270F" w:rsidRPr="0065270F" w:rsidRDefault="0065270F" w:rsidP="004F3558">
                      <w:pPr>
                        <w:keepNext/>
                        <w:keepLines/>
                        <w:numPr>
                          <w:ilvl w:val="0"/>
                          <w:numId w:val="20"/>
                        </w:numPr>
                        <w:spacing w:before="120" w:after="0"/>
                        <w:ind w:left="777" w:hanging="357"/>
                        <w:jc w:val="both"/>
                        <w:outlineLvl w:val="0"/>
                      </w:pPr>
                      <w:r w:rsidRPr="00B103F4">
                        <w:rPr>
                          <w:sz w:val="20"/>
                          <w:szCs w:val="20"/>
                        </w:rPr>
                        <w:t xml:space="preserve">La </w:t>
                      </w:r>
                      <w:r>
                        <w:rPr>
                          <w:sz w:val="20"/>
                          <w:szCs w:val="20"/>
                        </w:rPr>
                        <w:t xml:space="preserve">indicación de la causa por la que determinada información obligatoria no se publica (inexistencia de información que publicar) </w:t>
                      </w:r>
                    </w:p>
                    <w:p w:rsidR="0065270F" w:rsidRPr="00112467" w:rsidRDefault="0065270F" w:rsidP="0065270F">
                      <w:pPr>
                        <w:keepNext/>
                        <w:keepLines/>
                        <w:numPr>
                          <w:ilvl w:val="0"/>
                          <w:numId w:val="20"/>
                        </w:numPr>
                        <w:spacing w:before="120" w:after="0"/>
                        <w:jc w:val="both"/>
                        <w:outlineLvl w:val="0"/>
                        <w:rPr>
                          <w:sz w:val="20"/>
                          <w:szCs w:val="20"/>
                        </w:rPr>
                      </w:pPr>
                      <w:r w:rsidRPr="0065270F">
                        <w:rPr>
                          <w:sz w:val="20"/>
                          <w:szCs w:val="20"/>
                        </w:rPr>
                        <w:t>La habilitación de un espacio específico en el que informar sobre la materia de transparencia y que contiene, entre otras, la LTAIBG y un enlace a la página web</w:t>
                      </w:r>
                      <w:r w:rsidRPr="0065270F">
                        <w:t xml:space="preserve"> </w:t>
                      </w:r>
                      <w:r w:rsidRPr="00112467">
                        <w:rPr>
                          <w:sz w:val="20"/>
                          <w:szCs w:val="20"/>
                        </w:rPr>
                        <w:t>del CTBG.</w:t>
                      </w:r>
                    </w:p>
                    <w:p w:rsidR="0065270F" w:rsidRPr="002A154B" w:rsidRDefault="0065270F" w:rsidP="004F3558">
                      <w:pPr>
                        <w:pStyle w:val="Ttulo1"/>
                        <w:jc w:val="both"/>
                        <w:rPr>
                          <w:b w:val="0"/>
                          <w:color w:val="00642D"/>
                        </w:rPr>
                      </w:pPr>
                    </w:p>
                  </w:txbxContent>
                </v:textbox>
              </v:shape>
            </w:pict>
          </mc:Fallback>
        </mc:AlternateContent>
      </w:r>
    </w:p>
    <w:p w:rsidR="004F3558" w:rsidRDefault="004F3558"/>
    <w:p w:rsidR="004F3558" w:rsidRDefault="004F3558"/>
    <w:p w:rsidR="004F3558" w:rsidRDefault="004F3558"/>
    <w:p w:rsidR="004F3558" w:rsidRDefault="004F3558"/>
    <w:p w:rsidR="00EF62ED" w:rsidRDefault="00EF62ED"/>
    <w:p w:rsidR="00D17BA3" w:rsidRDefault="00D17BA3"/>
    <w:p w:rsidR="00D17BA3" w:rsidRDefault="00D17BA3"/>
    <w:p w:rsidR="00D17BA3" w:rsidRDefault="00D17BA3"/>
    <w:p w:rsidR="00EF62ED" w:rsidRDefault="00EF62ED"/>
    <w:p w:rsidR="003A6302" w:rsidRDefault="003A6302"/>
    <w:p w:rsidR="00B103F4" w:rsidRDefault="00B103F4"/>
    <w:p w:rsidR="00B103F4" w:rsidRDefault="00B103F4"/>
    <w:p w:rsidR="00B103F4" w:rsidRDefault="00B103F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F25949" w:rsidRPr="00B813C1">
        <w:t>Colegio Oficial de Ingeniería de Montes</w:t>
      </w:r>
      <w:r w:rsidR="00D34AC7">
        <w:t xml:space="preserve"> </w:t>
      </w:r>
      <w:r>
        <w:t xml:space="preserve">en función de la información disponible en su </w:t>
      </w:r>
      <w:r w:rsidR="00973389">
        <w:t>página</w:t>
      </w:r>
      <w:r>
        <w:t xml:space="preserve"> alcanza el </w:t>
      </w:r>
      <w:r w:rsidR="00112467">
        <w:t>50</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F25949" w:rsidRPr="00B813C1">
        <w:t>Colegio Oficial de Ingeniería de Montes</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9C2CC2" w:rsidRDefault="003A6302" w:rsidP="003A6302">
      <w:pPr>
        <w:spacing w:before="120" w:after="120" w:line="312" w:lineRule="auto"/>
        <w:jc w:val="both"/>
      </w:pPr>
      <w:r>
        <w:t xml:space="preserve">El </w:t>
      </w:r>
      <w:r w:rsidR="00F25949" w:rsidRPr="00B813C1">
        <w:t>Colegio Oficial de Ingeniería de Montes</w:t>
      </w:r>
      <w:r w:rsidR="00D34AC7">
        <w:t xml:space="preserve"> </w:t>
      </w:r>
      <w:r w:rsidR="004A3C22">
        <w:t>tiene h</w:t>
      </w:r>
      <w:r w:rsidR="00D34AC7">
        <w:t>abilita</w:t>
      </w:r>
      <w:r w:rsidR="004A3C22">
        <w:t>do</w:t>
      </w:r>
      <w:r w:rsidR="00817A3A">
        <w:t xml:space="preserve"> un </w:t>
      </w:r>
      <w:r>
        <w:t>Portal de Transp</w:t>
      </w:r>
      <w:r w:rsidRPr="00973389">
        <w:t xml:space="preserve">arencia </w:t>
      </w:r>
      <w:r w:rsidR="00817A3A">
        <w:t>que</w:t>
      </w:r>
      <w:r w:rsidRPr="00973389">
        <w:t xml:space="preserve"> </w:t>
      </w:r>
      <w:r w:rsidR="004A3C22">
        <w:t xml:space="preserve">se </w:t>
      </w:r>
      <w:r w:rsidR="009C2CC2">
        <w:t xml:space="preserve">ajusta </w:t>
      </w:r>
      <w:r w:rsidR="00E7409C">
        <w:t xml:space="preserve">en su estructura y organización </w:t>
      </w:r>
      <w:r w:rsidR="009C2CC2">
        <w:t>a los requerimientos de la LTAIBG.</w:t>
      </w:r>
    </w:p>
    <w:p w:rsidR="003A6302" w:rsidRDefault="009C2CC2" w:rsidP="009C2CC2">
      <w:pPr>
        <w:spacing w:before="120" w:after="120" w:line="312" w:lineRule="auto"/>
        <w:jc w:val="both"/>
        <w:rPr>
          <w:rFonts w:eastAsiaTheme="majorEastAsia" w:cstheme="majorBidi"/>
          <w:bCs/>
        </w:rPr>
      </w:pPr>
      <w:r>
        <w:t xml:space="preserve">La única cuestión que cabe </w:t>
      </w:r>
      <w:r w:rsidR="00E90ACB">
        <w:t>r</w:t>
      </w:r>
      <w:r w:rsidR="009D6F8A">
        <w:t xml:space="preserve">ecomendar </w:t>
      </w:r>
      <w:r>
        <w:t xml:space="preserve">es que se </w:t>
      </w:r>
      <w:r w:rsidR="009D6F8A">
        <w:t>le d</w:t>
      </w:r>
      <w:r w:rsidR="00E90ACB">
        <w:t>otara de mayor</w:t>
      </w:r>
      <w:r w:rsidR="009D6F8A">
        <w:t xml:space="preserve"> </w:t>
      </w:r>
      <w:r>
        <w:t>visibili</w:t>
      </w:r>
      <w:r w:rsidR="009D6F8A">
        <w:t>dad a</w:t>
      </w:r>
      <w:r w:rsidR="006F7A5C">
        <w:t xml:space="preserve"> este</w:t>
      </w:r>
      <w:r w:rsidR="009D6F8A">
        <w:t xml:space="preserve"> </w:t>
      </w:r>
      <w:r w:rsidR="006F7A5C">
        <w:t>Portal de Transp</w:t>
      </w:r>
      <w:r w:rsidR="006F7A5C" w:rsidRPr="00973389">
        <w:t>arencia</w:t>
      </w:r>
      <w:r w:rsidR="006F7A5C">
        <w:t xml:space="preserve">, ya que </w:t>
      </w:r>
      <w:r>
        <w:t xml:space="preserve">ocupa el decimosegundo y último lugar dentro del apartado “Interés general” de su pagina home. </w:t>
      </w:r>
    </w:p>
    <w:p w:rsidR="00973389" w:rsidRDefault="00973389" w:rsidP="003A6302">
      <w:pPr>
        <w:spacing w:before="120" w:after="120" w:line="312" w:lineRule="auto"/>
        <w:jc w:val="both"/>
        <w:rPr>
          <w:rFonts w:eastAsiaTheme="majorEastAsia" w:cstheme="majorBidi"/>
          <w:bCs/>
        </w:rPr>
      </w:pPr>
    </w:p>
    <w:p w:rsidR="00112467" w:rsidRDefault="00112467" w:rsidP="003A6302">
      <w:pPr>
        <w:spacing w:before="120" w:after="120" w:line="312" w:lineRule="auto"/>
        <w:jc w:val="both"/>
        <w:rPr>
          <w:rFonts w:eastAsiaTheme="majorEastAsia" w:cstheme="majorBidi"/>
          <w:bCs/>
        </w:rPr>
      </w:pPr>
    </w:p>
    <w:p w:rsidR="00112467" w:rsidRDefault="00112467"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lastRenderedPageBreak/>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D34AC7" w:rsidRDefault="00D34AC7" w:rsidP="00D34AC7">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D34AC7" w:rsidRDefault="00050F5F" w:rsidP="00D34AC7">
      <w:pPr>
        <w:pStyle w:val="Prrafodelista"/>
        <w:numPr>
          <w:ilvl w:val="0"/>
          <w:numId w:val="10"/>
        </w:numPr>
        <w:spacing w:before="120" w:after="120" w:line="312" w:lineRule="auto"/>
        <w:jc w:val="both"/>
        <w:rPr>
          <w:lang w:bidi="es-ES"/>
        </w:rPr>
      </w:pPr>
      <w:r>
        <w:rPr>
          <w:lang w:bidi="es-ES"/>
        </w:rPr>
        <w:t xml:space="preserve">Debe publicarse </w:t>
      </w:r>
      <w:r w:rsidR="00D34AC7">
        <w:rPr>
          <w:lang w:bidi="es-ES"/>
        </w:rPr>
        <w:t xml:space="preserve">un organigrama. </w:t>
      </w:r>
    </w:p>
    <w:p w:rsidR="00D34AC7" w:rsidRPr="00D34AC7" w:rsidRDefault="00050F5F" w:rsidP="00D34AC7">
      <w:pPr>
        <w:pStyle w:val="Prrafodelista"/>
        <w:numPr>
          <w:ilvl w:val="0"/>
          <w:numId w:val="10"/>
        </w:numPr>
        <w:spacing w:before="120" w:after="120" w:line="312" w:lineRule="auto"/>
        <w:jc w:val="both"/>
        <w:rPr>
          <w:b/>
          <w:color w:val="00642D"/>
        </w:rPr>
      </w:pPr>
      <w:r>
        <w:rPr>
          <w:lang w:bidi="es-ES"/>
        </w:rPr>
        <w:t xml:space="preserve">Debe informarse </w:t>
      </w:r>
      <w:r w:rsidR="00D34AC7">
        <w:rPr>
          <w:lang w:bidi="es-ES"/>
        </w:rPr>
        <w:t xml:space="preserve">sobre el perfil y trayectoria profesional de sus responsables </w:t>
      </w:r>
    </w:p>
    <w:p w:rsidR="00E7409C" w:rsidRDefault="00E7409C"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973389" w:rsidRDefault="00D732B3" w:rsidP="00973389">
      <w:pPr>
        <w:pStyle w:val="Prrafodelista"/>
        <w:numPr>
          <w:ilvl w:val="0"/>
          <w:numId w:val="12"/>
        </w:numPr>
        <w:spacing w:before="120" w:after="120" w:line="312" w:lineRule="auto"/>
        <w:jc w:val="both"/>
        <w:rPr>
          <w:lang w:bidi="es-ES"/>
        </w:rPr>
      </w:pPr>
      <w:r>
        <w:rPr>
          <w:lang w:bidi="es-ES"/>
        </w:rPr>
        <w:t xml:space="preserve">Debe informarse </w:t>
      </w:r>
      <w:r w:rsidR="00973389">
        <w:rPr>
          <w:lang w:bidi="es-ES"/>
        </w:rPr>
        <w:t>sobre las encomiendas de gestión que se firmen, con indicación de su objeto, presupuesto, duración y obligaciones económicas.</w:t>
      </w:r>
    </w:p>
    <w:p w:rsidR="003A6302" w:rsidRDefault="003A6302" w:rsidP="00973389">
      <w:pPr>
        <w:spacing w:before="120" w:after="120" w:line="312" w:lineRule="auto"/>
        <w:ind w:left="360"/>
        <w:jc w:val="both"/>
      </w:pPr>
    </w:p>
    <w:p w:rsidR="003A6302" w:rsidRDefault="003A6302" w:rsidP="003A6302">
      <w:pPr>
        <w:spacing w:before="120" w:after="120" w:line="312" w:lineRule="auto"/>
        <w:jc w:val="both"/>
        <w:outlineLvl w:val="1"/>
        <w:rPr>
          <w:b/>
          <w:color w:val="00642D"/>
        </w:rPr>
      </w:pPr>
      <w:r>
        <w:rPr>
          <w:b/>
          <w:color w:val="00642D"/>
        </w:rPr>
        <w:t>Calidad de la Información.</w:t>
      </w:r>
    </w:p>
    <w:p w:rsidR="002661AA" w:rsidRPr="002661AA" w:rsidRDefault="002661AA" w:rsidP="003A6302">
      <w:pPr>
        <w:spacing w:before="120" w:after="120" w:line="312" w:lineRule="auto"/>
        <w:jc w:val="both"/>
        <w:outlineLvl w:val="1"/>
        <w:rPr>
          <w:rFonts w:eastAsiaTheme="minorHAnsi"/>
          <w:szCs w:val="24"/>
          <w:lang w:eastAsia="en-US"/>
        </w:rPr>
      </w:pPr>
      <w:r w:rsidRPr="002661AA">
        <w:rPr>
          <w:rFonts w:eastAsiaTheme="minorHAnsi"/>
          <w:b/>
          <w:szCs w:val="24"/>
          <w:lang w:eastAsia="en-US"/>
        </w:rPr>
        <w:t>La información que proporciona el COIM</w:t>
      </w:r>
      <w:r>
        <w:rPr>
          <w:rFonts w:eastAsiaTheme="minorHAnsi"/>
          <w:szCs w:val="24"/>
          <w:lang w:eastAsia="en-US"/>
        </w:rPr>
        <w:t xml:space="preserve"> </w:t>
      </w:r>
      <w:r w:rsidRPr="002661AA">
        <w:rPr>
          <w:rFonts w:eastAsiaTheme="minorHAnsi"/>
          <w:b/>
          <w:szCs w:val="24"/>
          <w:lang w:eastAsia="en-US"/>
        </w:rPr>
        <w:t>cumple con todos los atributos de calidad</w:t>
      </w:r>
      <w:r>
        <w:rPr>
          <w:rFonts w:eastAsiaTheme="minorHAnsi"/>
          <w:szCs w:val="24"/>
          <w:lang w:eastAsia="en-US"/>
        </w:rPr>
        <w:t xml:space="preserve"> que la metodología  requiere:</w:t>
      </w:r>
      <w:r w:rsidRPr="002661AA">
        <w:rPr>
          <w:rFonts w:eastAsiaTheme="minorHAnsi"/>
          <w:szCs w:val="24"/>
          <w:lang w:eastAsia="en-US"/>
        </w:rPr>
        <w:t xml:space="preserve"> </w:t>
      </w:r>
    </w:p>
    <w:p w:rsidR="002661AA" w:rsidRPr="002661AA" w:rsidRDefault="003A6302" w:rsidP="003A6302">
      <w:pPr>
        <w:pStyle w:val="Prrafodelista"/>
        <w:numPr>
          <w:ilvl w:val="0"/>
          <w:numId w:val="14"/>
        </w:numPr>
        <w:spacing w:before="120" w:after="120" w:line="312" w:lineRule="auto"/>
        <w:ind w:left="714" w:hanging="357"/>
        <w:jc w:val="both"/>
        <w:rPr>
          <w:color w:val="FF0000"/>
        </w:rPr>
      </w:pPr>
      <w:r>
        <w:t xml:space="preserve">Toda la información </w:t>
      </w:r>
      <w:r w:rsidR="002661AA">
        <w:t>está</w:t>
      </w:r>
      <w:r>
        <w:t xml:space="preserve"> </w:t>
      </w:r>
      <w:r w:rsidR="00973389">
        <w:t>data</w:t>
      </w:r>
      <w:r w:rsidR="002661AA">
        <w:t>da y cuenta con fecha de actualización, además de la fecha de actualización general del portal de transparencia.</w:t>
      </w:r>
    </w:p>
    <w:p w:rsidR="00973389" w:rsidRPr="00141E38" w:rsidRDefault="002661AA" w:rsidP="00973389">
      <w:pPr>
        <w:pStyle w:val="Prrafodelista"/>
        <w:numPr>
          <w:ilvl w:val="0"/>
          <w:numId w:val="14"/>
        </w:numPr>
        <w:spacing w:before="120" w:after="120" w:line="312" w:lineRule="auto"/>
        <w:ind w:left="714" w:hanging="357"/>
        <w:jc w:val="both"/>
        <w:rPr>
          <w:color w:val="FF0000"/>
        </w:rPr>
      </w:pPr>
      <w:r>
        <w:t>La</w:t>
      </w:r>
      <w:r w:rsidR="00973389">
        <w:t xml:space="preserve"> información </w:t>
      </w:r>
      <w:r>
        <w:t xml:space="preserve">se publica en </w:t>
      </w:r>
      <w:r w:rsidR="00973389">
        <w:t>formatos reutilizables según lo dispuesto por la Ley 17/2007, de reutilización de la información del sector público</w:t>
      </w:r>
      <w:r w:rsidR="00141E38">
        <w:t>.</w:t>
      </w:r>
      <w:r w:rsidR="00973389">
        <w:t xml:space="preserve"> </w:t>
      </w:r>
    </w:p>
    <w:p w:rsidR="00141E38" w:rsidRDefault="002661AA" w:rsidP="00141E38">
      <w:pPr>
        <w:pStyle w:val="Prrafodelista"/>
        <w:numPr>
          <w:ilvl w:val="0"/>
          <w:numId w:val="14"/>
        </w:numPr>
        <w:spacing w:before="120" w:after="120" w:line="312" w:lineRule="auto"/>
        <w:ind w:left="714" w:right="-24" w:hanging="357"/>
        <w:jc w:val="both"/>
      </w:pPr>
      <w:r>
        <w:t xml:space="preserve">Toda </w:t>
      </w:r>
      <w:r w:rsidR="00141E38">
        <w:t>la información sujeta a obligaciones de publicidad activa se localiza</w:t>
      </w:r>
      <w:r>
        <w:t xml:space="preserve"> </w:t>
      </w:r>
      <w:r w:rsidR="00141E38">
        <w:t>dentro del Portal de Transparencia, bien directamente, bien a través de un enlace.</w:t>
      </w:r>
    </w:p>
    <w:p w:rsidR="00141E38" w:rsidRDefault="002661AA" w:rsidP="00141E38">
      <w:pPr>
        <w:pStyle w:val="Prrafodelista"/>
        <w:numPr>
          <w:ilvl w:val="0"/>
          <w:numId w:val="14"/>
        </w:numPr>
        <w:spacing w:before="120" w:after="120" w:line="312" w:lineRule="auto"/>
        <w:jc w:val="both"/>
      </w:pPr>
      <w:r>
        <w:t>En los</w:t>
      </w:r>
      <w:r w:rsidR="00141E38">
        <w:t xml:space="preserve"> caso</w:t>
      </w:r>
      <w:r>
        <w:t>s</w:t>
      </w:r>
      <w:r w:rsidR="00141E38">
        <w:t xml:space="preserve"> de que no h</w:t>
      </w:r>
      <w:r>
        <w:t>ay</w:t>
      </w:r>
      <w:r w:rsidR="00141E38">
        <w:t xml:space="preserve"> información que publicar, se señal</w:t>
      </w:r>
      <w:r>
        <w:t>a</w:t>
      </w:r>
      <w:r w:rsidR="00141E38">
        <w:t xml:space="preserve"> expresamente esta circunstancia.</w:t>
      </w:r>
    </w:p>
    <w:p w:rsidR="00141E38" w:rsidRPr="00141E38" w:rsidRDefault="00141E38" w:rsidP="00141E38">
      <w:pPr>
        <w:spacing w:before="120" w:after="120" w:line="312" w:lineRule="auto"/>
        <w:ind w:left="357"/>
        <w:jc w:val="both"/>
        <w:rPr>
          <w:color w:val="FF0000"/>
        </w:rPr>
      </w:pPr>
    </w:p>
    <w:p w:rsidR="003A6302" w:rsidRDefault="003A6302" w:rsidP="003A6302"/>
    <w:p w:rsidR="00E7409C" w:rsidRDefault="003A6302" w:rsidP="00E874ED">
      <w:pPr>
        <w:jc w:val="right"/>
      </w:pPr>
      <w:r>
        <w:t xml:space="preserve">Madrid, </w:t>
      </w:r>
      <w:r w:rsidR="009C15E9">
        <w:t>octubre</w:t>
      </w:r>
      <w:bookmarkStart w:id="0" w:name="_GoBack"/>
      <w:bookmarkEnd w:id="0"/>
      <w:r>
        <w:t xml:space="preserve"> de 2021 </w:t>
      </w:r>
    </w:p>
    <w:p w:rsidR="00E7409C" w:rsidRDefault="00E7409C">
      <w:r>
        <w:br w:type="page"/>
      </w:r>
    </w:p>
    <w:p w:rsidR="00CA4FB1" w:rsidRPr="00CA4FB1" w:rsidRDefault="00F85A9E"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default" r:id="rId15"/>
      <w:head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0F" w:rsidRDefault="0065270F" w:rsidP="00932008">
      <w:pPr>
        <w:spacing w:after="0" w:line="240" w:lineRule="auto"/>
      </w:pPr>
      <w:r>
        <w:separator/>
      </w:r>
    </w:p>
  </w:endnote>
  <w:endnote w:type="continuationSeparator" w:id="0">
    <w:p w:rsidR="0065270F" w:rsidRDefault="0065270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8502"/>
      <w:docPartObj>
        <w:docPartGallery w:val="Page Numbers (Bottom of Page)"/>
        <w:docPartUnique/>
      </w:docPartObj>
    </w:sdtPr>
    <w:sdtEndPr>
      <w:rPr>
        <w:sz w:val="18"/>
        <w:szCs w:val="18"/>
      </w:rPr>
    </w:sdtEndPr>
    <w:sdtContent>
      <w:p w:rsidR="0065270F" w:rsidRPr="00141E38" w:rsidRDefault="0065270F">
        <w:pPr>
          <w:pStyle w:val="Piedepgina"/>
          <w:jc w:val="center"/>
          <w:rPr>
            <w:sz w:val="18"/>
            <w:szCs w:val="18"/>
          </w:rPr>
        </w:pPr>
        <w:r w:rsidRPr="00141E38">
          <w:rPr>
            <w:sz w:val="18"/>
            <w:szCs w:val="18"/>
          </w:rPr>
          <w:fldChar w:fldCharType="begin"/>
        </w:r>
        <w:r w:rsidRPr="00141E38">
          <w:rPr>
            <w:sz w:val="18"/>
            <w:szCs w:val="18"/>
          </w:rPr>
          <w:instrText>PAGE   \* MERGEFORMAT</w:instrText>
        </w:r>
        <w:r w:rsidRPr="00141E38">
          <w:rPr>
            <w:sz w:val="18"/>
            <w:szCs w:val="18"/>
          </w:rPr>
          <w:fldChar w:fldCharType="separate"/>
        </w:r>
        <w:r w:rsidR="009C15E9">
          <w:rPr>
            <w:noProof/>
            <w:sz w:val="18"/>
            <w:szCs w:val="18"/>
          </w:rPr>
          <w:t>9</w:t>
        </w:r>
        <w:r w:rsidRPr="00141E38">
          <w:rPr>
            <w:sz w:val="18"/>
            <w:szCs w:val="18"/>
          </w:rPr>
          <w:fldChar w:fldCharType="end"/>
        </w:r>
      </w:p>
    </w:sdtContent>
  </w:sdt>
  <w:p w:rsidR="0065270F" w:rsidRDefault="006527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0F" w:rsidRDefault="0065270F" w:rsidP="00932008">
      <w:pPr>
        <w:spacing w:after="0" w:line="240" w:lineRule="auto"/>
      </w:pPr>
      <w:r>
        <w:separator/>
      </w:r>
    </w:p>
  </w:footnote>
  <w:footnote w:type="continuationSeparator" w:id="0">
    <w:p w:rsidR="0065270F" w:rsidRDefault="0065270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0F" w:rsidRDefault="006527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0F" w:rsidRDefault="006527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0F" w:rsidRDefault="006527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35E3DDD"/>
    <w:multiLevelType w:val="hybridMultilevel"/>
    <w:tmpl w:val="F6A601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9"/>
  </w:num>
  <w:num w:numId="6">
    <w:abstractNumId w:val="17"/>
  </w:num>
  <w:num w:numId="7">
    <w:abstractNumId w:val="16"/>
  </w:num>
  <w:num w:numId="8">
    <w:abstractNumId w:val="5"/>
  </w:num>
  <w:num w:numId="9">
    <w:abstractNumId w:val="0"/>
  </w:num>
  <w:num w:numId="10">
    <w:abstractNumId w:val="15"/>
  </w:num>
  <w:num w:numId="11">
    <w:abstractNumId w:val="6"/>
  </w:num>
  <w:num w:numId="12">
    <w:abstractNumId w:val="2"/>
  </w:num>
  <w:num w:numId="13">
    <w:abstractNumId w:val="4"/>
  </w:num>
  <w:num w:numId="14">
    <w:abstractNumId w:val="13"/>
  </w:num>
  <w:num w:numId="15">
    <w:abstractNumId w:val="12"/>
  </w:num>
  <w:num w:numId="16">
    <w:abstractNumId w:val="0"/>
  </w:num>
  <w:num w:numId="17">
    <w:abstractNumId w:val="2"/>
  </w:num>
  <w:num w:numId="18">
    <w:abstractNumId w:val="8"/>
  </w:num>
  <w:num w:numId="19">
    <w:abstractNumId w:val="7"/>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0F5F"/>
    <w:rsid w:val="0007446F"/>
    <w:rsid w:val="000965B3"/>
    <w:rsid w:val="000C6CFF"/>
    <w:rsid w:val="000E785B"/>
    <w:rsid w:val="00102733"/>
    <w:rsid w:val="00105AEA"/>
    <w:rsid w:val="00112467"/>
    <w:rsid w:val="00137F9A"/>
    <w:rsid w:val="00141E38"/>
    <w:rsid w:val="00147FAC"/>
    <w:rsid w:val="00154A2C"/>
    <w:rsid w:val="001561A4"/>
    <w:rsid w:val="001D3520"/>
    <w:rsid w:val="001D3DE0"/>
    <w:rsid w:val="001D4917"/>
    <w:rsid w:val="001E5084"/>
    <w:rsid w:val="002421DF"/>
    <w:rsid w:val="002661AA"/>
    <w:rsid w:val="00277C52"/>
    <w:rsid w:val="002A154B"/>
    <w:rsid w:val="002C6B83"/>
    <w:rsid w:val="002F54A2"/>
    <w:rsid w:val="0035631E"/>
    <w:rsid w:val="003718B9"/>
    <w:rsid w:val="003A3591"/>
    <w:rsid w:val="003A6302"/>
    <w:rsid w:val="003B38AF"/>
    <w:rsid w:val="003C63A1"/>
    <w:rsid w:val="003D1089"/>
    <w:rsid w:val="003E12E2"/>
    <w:rsid w:val="003F271E"/>
    <w:rsid w:val="003F572A"/>
    <w:rsid w:val="00427292"/>
    <w:rsid w:val="004709E0"/>
    <w:rsid w:val="00496460"/>
    <w:rsid w:val="0049763B"/>
    <w:rsid w:val="004A3C22"/>
    <w:rsid w:val="004C28FE"/>
    <w:rsid w:val="004F2655"/>
    <w:rsid w:val="004F3558"/>
    <w:rsid w:val="004F53ED"/>
    <w:rsid w:val="00521DA9"/>
    <w:rsid w:val="005313F4"/>
    <w:rsid w:val="00544E0C"/>
    <w:rsid w:val="00561402"/>
    <w:rsid w:val="0057532F"/>
    <w:rsid w:val="0059693A"/>
    <w:rsid w:val="005B19E4"/>
    <w:rsid w:val="005C0AA8"/>
    <w:rsid w:val="005E03EF"/>
    <w:rsid w:val="005E7497"/>
    <w:rsid w:val="005F29B8"/>
    <w:rsid w:val="00610994"/>
    <w:rsid w:val="0065270F"/>
    <w:rsid w:val="0066245B"/>
    <w:rsid w:val="00671D67"/>
    <w:rsid w:val="00680D94"/>
    <w:rsid w:val="00690AA7"/>
    <w:rsid w:val="006A2766"/>
    <w:rsid w:val="006C3D22"/>
    <w:rsid w:val="006E5667"/>
    <w:rsid w:val="006F7A5C"/>
    <w:rsid w:val="00710031"/>
    <w:rsid w:val="00743756"/>
    <w:rsid w:val="00762903"/>
    <w:rsid w:val="007753AB"/>
    <w:rsid w:val="007B0F99"/>
    <w:rsid w:val="007C363B"/>
    <w:rsid w:val="00800F2E"/>
    <w:rsid w:val="0080675C"/>
    <w:rsid w:val="00815239"/>
    <w:rsid w:val="0081737A"/>
    <w:rsid w:val="00817A3A"/>
    <w:rsid w:val="00822B8D"/>
    <w:rsid w:val="00844FA9"/>
    <w:rsid w:val="00856435"/>
    <w:rsid w:val="008C1E1E"/>
    <w:rsid w:val="0092723A"/>
    <w:rsid w:val="00932008"/>
    <w:rsid w:val="00940911"/>
    <w:rsid w:val="0095773B"/>
    <w:rsid w:val="009609E9"/>
    <w:rsid w:val="00973389"/>
    <w:rsid w:val="009A48E8"/>
    <w:rsid w:val="009C15E9"/>
    <w:rsid w:val="009C2CC2"/>
    <w:rsid w:val="009C5761"/>
    <w:rsid w:val="009D6F8A"/>
    <w:rsid w:val="00A24406"/>
    <w:rsid w:val="00AD2022"/>
    <w:rsid w:val="00B103F4"/>
    <w:rsid w:val="00B40246"/>
    <w:rsid w:val="00B4725E"/>
    <w:rsid w:val="00B64559"/>
    <w:rsid w:val="00B8237E"/>
    <w:rsid w:val="00B841AE"/>
    <w:rsid w:val="00BB2A7C"/>
    <w:rsid w:val="00BB5944"/>
    <w:rsid w:val="00BB6799"/>
    <w:rsid w:val="00BB74A7"/>
    <w:rsid w:val="00BD4582"/>
    <w:rsid w:val="00BD7521"/>
    <w:rsid w:val="00BE6A46"/>
    <w:rsid w:val="00C33A23"/>
    <w:rsid w:val="00C5744D"/>
    <w:rsid w:val="00C65B5B"/>
    <w:rsid w:val="00C73F10"/>
    <w:rsid w:val="00C77304"/>
    <w:rsid w:val="00C77588"/>
    <w:rsid w:val="00CA4FB1"/>
    <w:rsid w:val="00CB5511"/>
    <w:rsid w:val="00CB5F4C"/>
    <w:rsid w:val="00CC02A3"/>
    <w:rsid w:val="00CC2049"/>
    <w:rsid w:val="00D1242F"/>
    <w:rsid w:val="00D17BA3"/>
    <w:rsid w:val="00D34AC7"/>
    <w:rsid w:val="00D732B3"/>
    <w:rsid w:val="00D96F84"/>
    <w:rsid w:val="00DE4548"/>
    <w:rsid w:val="00DF5F2A"/>
    <w:rsid w:val="00DF63E7"/>
    <w:rsid w:val="00E3088D"/>
    <w:rsid w:val="00E34195"/>
    <w:rsid w:val="00E4270D"/>
    <w:rsid w:val="00E46A54"/>
    <w:rsid w:val="00E47613"/>
    <w:rsid w:val="00E7409C"/>
    <w:rsid w:val="00E874ED"/>
    <w:rsid w:val="00E90ACB"/>
    <w:rsid w:val="00EA626A"/>
    <w:rsid w:val="00EE2893"/>
    <w:rsid w:val="00EF62ED"/>
    <w:rsid w:val="00F14DA4"/>
    <w:rsid w:val="00F25949"/>
    <w:rsid w:val="00F47C3B"/>
    <w:rsid w:val="00F54C6B"/>
    <w:rsid w:val="00F63ED4"/>
    <w:rsid w:val="00F71D7D"/>
    <w:rsid w:val="00F85A9E"/>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3F85"/>
    <w:rsid w:val="0013771E"/>
    <w:rsid w:val="00307EB1"/>
    <w:rsid w:val="003D088C"/>
    <w:rsid w:val="004F291A"/>
    <w:rsid w:val="006B03EA"/>
    <w:rsid w:val="007607C8"/>
    <w:rsid w:val="0087494B"/>
    <w:rsid w:val="00945E4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3891196-0119-4C7D-A90E-FA4AC27E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10</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2021-10-18T09:07:00Z</dcterms:created>
  <dcterms:modified xsi:type="dcterms:W3CDTF">2021-10-18T09:08:00Z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