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E60248" w:rsidRPr="00006957" w:rsidRDefault="00E6024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sdtPr>
                      <w:sdtEndPr/>
                      <w:sdtContent>
                        <w:p w:rsidR="00DF2F9A" w:rsidRPr="00006957" w:rsidRDefault="00DF2F9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60248" w:rsidRDefault="00E6024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173F3" w:rsidRDefault="005173F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0E5A3F" w:rsidRPr="00CB5511" w:rsidTr="002F54A2">
        <w:tc>
          <w:tcPr>
            <w:tcW w:w="3652" w:type="dxa"/>
          </w:tcPr>
          <w:p w:rsidR="000E5A3F" w:rsidRPr="00E34195" w:rsidRDefault="000E5A3F" w:rsidP="002F54A2">
            <w:pPr>
              <w:rPr>
                <w:b/>
                <w:color w:val="00642D"/>
                <w:sz w:val="24"/>
                <w:szCs w:val="24"/>
              </w:rPr>
            </w:pPr>
            <w:r w:rsidRPr="00E34195">
              <w:rPr>
                <w:b/>
                <w:color w:val="00642D"/>
                <w:sz w:val="24"/>
                <w:szCs w:val="24"/>
              </w:rPr>
              <w:t>Entidad evaluada</w:t>
            </w:r>
          </w:p>
        </w:tc>
        <w:tc>
          <w:tcPr>
            <w:tcW w:w="6954" w:type="dxa"/>
          </w:tcPr>
          <w:p w:rsidR="000E5A3F" w:rsidRDefault="000E5A3F" w:rsidP="00363B28">
            <w:r>
              <w:t xml:space="preserve">Colegio Oficial </w:t>
            </w:r>
            <w:r>
              <w:rPr>
                <w:bCs/>
              </w:rPr>
              <w:t>de Ingenieros Técnicos de Telecomunicación</w:t>
            </w:r>
            <w:r w:rsidR="00363B28">
              <w:rPr>
                <w:bCs/>
              </w:rPr>
              <w:t xml:space="preserve"> (COITT)</w:t>
            </w:r>
          </w:p>
        </w:tc>
      </w:tr>
      <w:tr w:rsidR="000E5A3F" w:rsidRPr="00CB5511" w:rsidTr="002F54A2">
        <w:tc>
          <w:tcPr>
            <w:tcW w:w="3652" w:type="dxa"/>
          </w:tcPr>
          <w:p w:rsidR="000E5A3F" w:rsidRPr="00E34195" w:rsidRDefault="000E5A3F" w:rsidP="002F54A2">
            <w:pPr>
              <w:rPr>
                <w:b/>
                <w:color w:val="00642D"/>
                <w:sz w:val="24"/>
                <w:szCs w:val="24"/>
              </w:rPr>
            </w:pPr>
            <w:r w:rsidRPr="00E34195">
              <w:rPr>
                <w:b/>
                <w:color w:val="00642D"/>
                <w:sz w:val="24"/>
                <w:szCs w:val="24"/>
              </w:rPr>
              <w:t>Fecha de la evaluación</w:t>
            </w:r>
          </w:p>
        </w:tc>
        <w:tc>
          <w:tcPr>
            <w:tcW w:w="6954" w:type="dxa"/>
          </w:tcPr>
          <w:p w:rsidR="000E5A3F" w:rsidRDefault="000E5A3F">
            <w:pPr>
              <w:rPr>
                <w:sz w:val="24"/>
                <w:szCs w:val="24"/>
              </w:rPr>
            </w:pPr>
            <w:r>
              <w:rPr>
                <w:sz w:val="24"/>
                <w:szCs w:val="24"/>
              </w:rPr>
              <w:t>17 de junio de 2021</w:t>
            </w:r>
          </w:p>
        </w:tc>
      </w:tr>
      <w:tr w:rsidR="000E5A3F" w:rsidRPr="00CB5511" w:rsidTr="002F54A2">
        <w:tc>
          <w:tcPr>
            <w:tcW w:w="3652" w:type="dxa"/>
          </w:tcPr>
          <w:p w:rsidR="000E5A3F" w:rsidRPr="00E34195" w:rsidRDefault="000E5A3F" w:rsidP="002F54A2">
            <w:pPr>
              <w:rPr>
                <w:b/>
                <w:color w:val="00642D"/>
                <w:sz w:val="24"/>
                <w:szCs w:val="24"/>
              </w:rPr>
            </w:pPr>
            <w:r w:rsidRPr="00E34195">
              <w:rPr>
                <w:b/>
                <w:color w:val="00642D"/>
                <w:sz w:val="24"/>
                <w:szCs w:val="24"/>
              </w:rPr>
              <w:t>URL de la entidad</w:t>
            </w:r>
          </w:p>
        </w:tc>
        <w:tc>
          <w:tcPr>
            <w:tcW w:w="6954" w:type="dxa"/>
          </w:tcPr>
          <w:p w:rsidR="000E5A3F" w:rsidRDefault="007D3377">
            <w:hyperlink r:id="rId12" w:history="1">
              <w:r w:rsidR="001B6CAC" w:rsidRPr="00193457">
                <w:rPr>
                  <w:rStyle w:val="Hipervnculo"/>
                </w:rPr>
                <w:t>https://www2.coitt.es/</w:t>
              </w:r>
            </w:hyperlink>
            <w:r w:rsidR="001B6CAC">
              <w:t xml:space="preserve"> ( y </w:t>
            </w:r>
            <w:hyperlink r:id="rId13" w:history="1">
              <w:r w:rsidR="001B6CAC" w:rsidRPr="00193457">
                <w:rPr>
                  <w:rStyle w:val="Hipervnculo"/>
                  <w:sz w:val="20"/>
                  <w:szCs w:val="20"/>
                </w:rPr>
                <w:t>https://www.telecos.zone</w:t>
              </w:r>
            </w:hyperlink>
            <w:r w:rsidR="001B6CAC">
              <w:rPr>
                <w:sz w:val="20"/>
                <w:szCs w:val="20"/>
              </w:rPr>
              <w:t>,)</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7D337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C40B65" w:rsidP="00CC02A3">
            <w:pPr>
              <w:jc w:val="both"/>
              <w:rPr>
                <w:sz w:val="20"/>
                <w:szCs w:val="20"/>
              </w:rPr>
            </w:pPr>
            <w:r>
              <w:rPr>
                <w:sz w:val="20"/>
                <w:szCs w:val="20"/>
              </w:rPr>
              <w:t>x</w:t>
            </w:r>
          </w:p>
        </w:tc>
        <w:tc>
          <w:tcPr>
            <w:tcW w:w="3969" w:type="dxa"/>
            <w:vMerge w:val="restart"/>
          </w:tcPr>
          <w:p w:rsidR="001B6CAC" w:rsidRPr="000C6CFF" w:rsidRDefault="006C3D22" w:rsidP="003667EC">
            <w:pPr>
              <w:jc w:val="both"/>
              <w:rPr>
                <w:sz w:val="20"/>
                <w:szCs w:val="20"/>
              </w:rPr>
            </w:pPr>
            <w:r w:rsidRPr="00EE2893">
              <w:rPr>
                <w:sz w:val="20"/>
                <w:szCs w:val="20"/>
              </w:rPr>
              <w:t xml:space="preserve">Cuenta con un </w:t>
            </w:r>
            <w:r w:rsidR="001B6CAC">
              <w:rPr>
                <w:sz w:val="20"/>
                <w:szCs w:val="20"/>
              </w:rPr>
              <w:t xml:space="preserve">portal de transparencia a pie de página. </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3E12E2" w:rsidRDefault="00CB5511" w:rsidP="00CC02A3">
            <w:pPr>
              <w:jc w:val="both"/>
              <w:rPr>
                <w:sz w:val="24"/>
                <w:szCs w:val="24"/>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E46A54" w:rsidRDefault="00CB5511" w:rsidP="00CC02A3">
            <w:pPr>
              <w:jc w:val="both"/>
              <w:rPr>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3667EC" w:rsidP="00CC02A3">
            <w:pPr>
              <w:jc w:val="both"/>
              <w:rPr>
                <w:b/>
                <w:sz w:val="20"/>
                <w:szCs w:val="20"/>
              </w:rPr>
            </w:pPr>
            <w:r>
              <w:rPr>
                <w:b/>
                <w:sz w:val="20"/>
                <w:szCs w:val="20"/>
              </w:rPr>
              <w:t>X</w:t>
            </w:r>
          </w:p>
        </w:tc>
        <w:tc>
          <w:tcPr>
            <w:tcW w:w="3977" w:type="dxa"/>
            <w:vMerge w:val="restart"/>
          </w:tcPr>
          <w:p w:rsidR="00932008" w:rsidRPr="00932008" w:rsidRDefault="006C3D22" w:rsidP="003667EC">
            <w:pPr>
              <w:jc w:val="both"/>
              <w:rPr>
                <w:sz w:val="20"/>
                <w:szCs w:val="20"/>
              </w:rPr>
            </w:pPr>
            <w:r w:rsidRPr="004F3558">
              <w:rPr>
                <w:sz w:val="20"/>
                <w:szCs w:val="20"/>
              </w:rPr>
              <w:t xml:space="preserve">La información se organiza en </w:t>
            </w:r>
            <w:r w:rsidR="00567A7B">
              <w:rPr>
                <w:sz w:val="20"/>
                <w:szCs w:val="20"/>
              </w:rPr>
              <w:t>tres</w:t>
            </w:r>
            <w:r w:rsidRPr="004F3558">
              <w:rPr>
                <w:sz w:val="20"/>
                <w:szCs w:val="20"/>
              </w:rPr>
              <w:t xml:space="preserve"> apartados: </w:t>
            </w:r>
            <w:r w:rsidR="003667EC">
              <w:rPr>
                <w:sz w:val="20"/>
                <w:szCs w:val="20"/>
              </w:rPr>
              <w:t>Información general – que incluye información organizativa e institucional y el Registro de Actividades de Tratamiento-</w:t>
            </w:r>
            <w:r w:rsidRPr="004F3558">
              <w:rPr>
                <w:sz w:val="20"/>
                <w:szCs w:val="20"/>
              </w:rPr>
              <w:t xml:space="preserve">, </w:t>
            </w:r>
            <w:r w:rsidR="003667EC">
              <w:rPr>
                <w:sz w:val="20"/>
                <w:szCs w:val="20"/>
              </w:rPr>
              <w:t>Información</w:t>
            </w:r>
            <w:r w:rsidRPr="004F3558">
              <w:rPr>
                <w:sz w:val="20"/>
                <w:szCs w:val="20"/>
              </w:rPr>
              <w:t xml:space="preserve"> económica y </w:t>
            </w:r>
            <w:r w:rsidR="003667EC">
              <w:rPr>
                <w:sz w:val="20"/>
                <w:szCs w:val="20"/>
              </w:rPr>
              <w:t>presupuestaria y Derecho de acceso a la información</w:t>
            </w:r>
            <w:r w:rsidR="00E94A97">
              <w:rPr>
                <w:sz w:val="20"/>
                <w:szCs w:val="20"/>
              </w:rPr>
              <w:t xml:space="preserve">. </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1242F" w:rsidRDefault="00932008" w:rsidP="00CC02A3">
            <w:pPr>
              <w:jc w:val="both"/>
              <w:rPr>
                <w:sz w:val="24"/>
                <w:szCs w:val="24"/>
              </w:rPr>
            </w:pPr>
          </w:p>
        </w:tc>
        <w:tc>
          <w:tcPr>
            <w:tcW w:w="3977" w:type="dxa"/>
            <w:vMerge/>
          </w:tcPr>
          <w:p w:rsidR="00932008" w:rsidRPr="00932008" w:rsidRDefault="00932008" w:rsidP="00CC02A3">
            <w:pPr>
              <w:jc w:val="both"/>
              <w:rPr>
                <w:sz w:val="20"/>
                <w:szCs w:val="20"/>
              </w:rPr>
            </w:pPr>
          </w:p>
        </w:tc>
      </w:tr>
    </w:tbl>
    <w:p w:rsidR="003667EC" w:rsidRDefault="003667EC" w:rsidP="00567A7B">
      <w:pPr>
        <w:rPr>
          <w:noProof/>
        </w:rPr>
      </w:pPr>
    </w:p>
    <w:p w:rsidR="003C63A1" w:rsidRDefault="003667EC" w:rsidP="00567A7B">
      <w:r w:rsidRPr="003667EC">
        <w:rPr>
          <w:noProof/>
        </w:rPr>
        <w:drawing>
          <wp:inline distT="0" distB="0" distL="0" distR="0" wp14:anchorId="37024A86" wp14:editId="6047D009">
            <wp:extent cx="6457950" cy="3145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60143" cy="3146743"/>
                    </a:xfrm>
                    <a:prstGeom prst="rect">
                      <a:avLst/>
                    </a:prstGeom>
                  </pic:spPr>
                </pic:pic>
              </a:graphicData>
            </a:graphic>
          </wp:inline>
        </w:drawing>
      </w:r>
      <w:r w:rsidR="00567A7B">
        <w:br w:type="textWrapping" w:clear="all"/>
      </w:r>
    </w:p>
    <w:p w:rsidR="00932008" w:rsidRPr="00C33A23" w:rsidRDefault="006C3D22" w:rsidP="00AA6AC0">
      <w:pPr>
        <w:rPr>
          <w:b/>
          <w:color w:val="00642D"/>
          <w:sz w:val="32"/>
        </w:rPr>
      </w:pPr>
      <w:r>
        <w:br w:type="page"/>
      </w:r>
      <w:r w:rsidR="00561402">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35631E"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AA6AC0">
            <w:pPr>
              <w:pStyle w:val="Cuerpodelboletn"/>
              <w:spacing w:before="120" w:after="120" w:line="312" w:lineRule="auto"/>
              <w:rPr>
                <w:rStyle w:val="Ttulo2Car"/>
                <w:sz w:val="20"/>
                <w:szCs w:val="20"/>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E4270D"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A6AC0" w:rsidRPr="00E94A97" w:rsidRDefault="00E94A97" w:rsidP="004F60B6">
            <w:pPr>
              <w:pStyle w:val="Cuerpodelboletn"/>
              <w:spacing w:before="120" w:after="120" w:line="312" w:lineRule="auto"/>
              <w:rPr>
                <w:b/>
                <w:bCs/>
                <w:color w:val="auto"/>
              </w:rPr>
            </w:pPr>
            <w:r w:rsidRPr="00E94A97">
              <w:rPr>
                <w:color w:val="auto"/>
                <w:sz w:val="20"/>
                <w:szCs w:val="20"/>
              </w:rPr>
              <w:t>En el apartado “El Colegio”</w:t>
            </w:r>
            <w:r w:rsidR="00E60248">
              <w:rPr>
                <w:color w:val="auto"/>
                <w:sz w:val="20"/>
                <w:szCs w:val="20"/>
              </w:rPr>
              <w:t xml:space="preserve">. En el acceso funciones del Portal de Transparencia se recogen las relativas a la Junta de Gobierno. </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3667EC" w:rsidP="00E3088D">
            <w:pPr>
              <w:pStyle w:val="Cuerpodelboletn"/>
              <w:spacing w:before="120" w:after="120" w:line="312" w:lineRule="auto"/>
              <w:rPr>
                <w:rStyle w:val="Ttulo2Car"/>
                <w:sz w:val="20"/>
                <w:szCs w:val="20"/>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59693A" w:rsidRDefault="00E34195" w:rsidP="00141E38">
            <w:pPr>
              <w:pStyle w:val="Cuerpodelboletn"/>
              <w:spacing w:before="120" w:after="120" w:line="312" w:lineRule="auto"/>
              <w:rPr>
                <w:rStyle w:val="Ttulo2Car"/>
                <w:sz w:val="20"/>
                <w:szCs w:val="20"/>
                <w:lang w:bidi="es-ES"/>
              </w:rPr>
            </w:pPr>
          </w:p>
        </w:tc>
      </w:tr>
      <w:tr w:rsidR="006A6C55" w:rsidRPr="00CB5511" w:rsidTr="00F47C3B">
        <w:tc>
          <w:tcPr>
            <w:tcW w:w="1591" w:type="dxa"/>
            <w:vMerge w:val="restart"/>
            <w:tcBorders>
              <w:right w:val="single" w:sz="4" w:space="0" w:color="00642D"/>
            </w:tcBorders>
            <w:shd w:val="clear" w:color="auto" w:fill="00642D"/>
            <w:textDirection w:val="btLr"/>
            <w:vAlign w:val="center"/>
          </w:tcPr>
          <w:p w:rsidR="006A6C55" w:rsidRPr="00E34195" w:rsidRDefault="006A6C5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6A6C55" w:rsidRPr="00CB5511" w:rsidRDefault="006A6C5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6A6C55" w:rsidRPr="00DE4548" w:rsidRDefault="006A6C55"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6C55" w:rsidRPr="00CB5511" w:rsidRDefault="006A6C55" w:rsidP="006A6C55">
            <w:pPr>
              <w:pStyle w:val="Cuerpodelboletn"/>
              <w:spacing w:before="120" w:after="120" w:line="312" w:lineRule="auto"/>
              <w:rPr>
                <w:rStyle w:val="Ttulo2Car"/>
                <w:sz w:val="20"/>
                <w:szCs w:val="20"/>
                <w:lang w:bidi="es-ES"/>
              </w:rPr>
            </w:pPr>
          </w:p>
        </w:tc>
      </w:tr>
      <w:tr w:rsidR="006A6C55" w:rsidRPr="00CB5511" w:rsidTr="00F47C3B">
        <w:tc>
          <w:tcPr>
            <w:tcW w:w="1591" w:type="dxa"/>
            <w:vMerge/>
            <w:tcBorders>
              <w:right w:val="single" w:sz="4" w:space="0" w:color="00642D"/>
            </w:tcBorders>
            <w:shd w:val="clear" w:color="auto" w:fill="00642D"/>
          </w:tcPr>
          <w:p w:rsidR="006A6C55" w:rsidRPr="00CB5511" w:rsidRDefault="006A6C5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A6C55" w:rsidRPr="00E34195" w:rsidRDefault="006A6C5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6A6C55" w:rsidRPr="00CB5511" w:rsidRDefault="00E60248" w:rsidP="00E3088D">
            <w:pPr>
              <w:pStyle w:val="Cuerpodelboletn"/>
              <w:spacing w:before="120" w:after="120" w:line="312" w:lineRule="auto"/>
              <w:rPr>
                <w:rStyle w:val="Ttulo2Car"/>
                <w:sz w:val="20"/>
                <w:szCs w:val="20"/>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6C55" w:rsidRPr="00CB5511" w:rsidRDefault="006A6C55" w:rsidP="00E3088D">
            <w:pPr>
              <w:pStyle w:val="Cuerpodelboletn"/>
              <w:spacing w:before="120" w:after="120" w:line="312" w:lineRule="auto"/>
              <w:rPr>
                <w:rStyle w:val="Ttulo2Car"/>
                <w:sz w:val="20"/>
                <w:szCs w:val="20"/>
                <w:lang w:bidi="es-ES"/>
              </w:rPr>
            </w:pPr>
          </w:p>
        </w:tc>
      </w:tr>
      <w:tr w:rsidR="006A6C55" w:rsidRPr="00CB5511" w:rsidTr="00F47C3B">
        <w:tc>
          <w:tcPr>
            <w:tcW w:w="1591" w:type="dxa"/>
            <w:vMerge/>
            <w:tcBorders>
              <w:right w:val="single" w:sz="4" w:space="0" w:color="00642D"/>
            </w:tcBorders>
            <w:shd w:val="clear" w:color="auto" w:fill="00642D"/>
          </w:tcPr>
          <w:p w:rsidR="006A6C55" w:rsidRPr="00CB5511" w:rsidRDefault="006A6C5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A6C55" w:rsidRPr="00E34195" w:rsidRDefault="006A6C5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6A6C55" w:rsidRPr="00DE4548" w:rsidRDefault="006A6C55"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6C55" w:rsidRPr="00CB5511" w:rsidRDefault="006A6C55" w:rsidP="006A6C55">
            <w:pPr>
              <w:pStyle w:val="Cuerpodelboletn"/>
              <w:spacing w:before="120" w:after="120" w:line="312" w:lineRule="auto"/>
              <w:rPr>
                <w:rStyle w:val="Ttulo2Car"/>
                <w:sz w:val="20"/>
                <w:szCs w:val="20"/>
                <w:lang w:bidi="es-ES"/>
              </w:rPr>
            </w:pPr>
          </w:p>
        </w:tc>
      </w:tr>
      <w:tr w:rsidR="006A6C55" w:rsidRPr="00CB5511" w:rsidTr="00F47C3B">
        <w:tc>
          <w:tcPr>
            <w:tcW w:w="1591" w:type="dxa"/>
            <w:vMerge/>
            <w:tcBorders>
              <w:right w:val="single" w:sz="4" w:space="0" w:color="00642D"/>
            </w:tcBorders>
            <w:shd w:val="clear" w:color="auto" w:fill="00642D"/>
          </w:tcPr>
          <w:p w:rsidR="006A6C55" w:rsidRPr="00CB5511" w:rsidRDefault="006A6C5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6A6C55" w:rsidRPr="00E34195" w:rsidRDefault="006A6C5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6A6C55" w:rsidRPr="00CB5511" w:rsidRDefault="00E60248" w:rsidP="00E3088D">
            <w:pPr>
              <w:pStyle w:val="Cuerpodelboletn"/>
              <w:spacing w:before="120" w:after="120" w:line="312" w:lineRule="auto"/>
              <w:rPr>
                <w:rStyle w:val="Ttulo2Car"/>
                <w:sz w:val="20"/>
                <w:szCs w:val="20"/>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6C55" w:rsidRPr="00CB5511" w:rsidRDefault="006A6C55" w:rsidP="00AA6AC0">
            <w:pPr>
              <w:pStyle w:val="Cuerpodelboletn"/>
              <w:spacing w:before="120" w:after="120" w:line="312" w:lineRule="auto"/>
              <w:rPr>
                <w:rStyle w:val="Ttulo2Car"/>
                <w:sz w:val="20"/>
                <w:szCs w:val="20"/>
                <w:lang w:bidi="es-ES"/>
              </w:rPr>
            </w:pPr>
          </w:p>
        </w:tc>
      </w:tr>
    </w:tbl>
    <w:p w:rsidR="00496460" w:rsidRDefault="00496460" w:rsidP="00E3088D">
      <w:pPr>
        <w:pStyle w:val="Cuerpodelboletn"/>
        <w:spacing w:before="120" w:after="120" w:line="312" w:lineRule="auto"/>
        <w:ind w:left="360"/>
        <w:rPr>
          <w:rStyle w:val="Ttulo2Car"/>
          <w:i/>
          <w:lang w:bidi="es-ES"/>
        </w:rPr>
      </w:pPr>
    </w:p>
    <w:p w:rsidR="00496460" w:rsidRDefault="00496460">
      <w:pPr>
        <w:rPr>
          <w:rStyle w:val="Ttulo2Car"/>
          <w:i/>
          <w:lang w:bidi="es-ES"/>
        </w:rPr>
      </w:pPr>
      <w:r>
        <w:rPr>
          <w:rStyle w:val="Ttulo2Car"/>
          <w:i/>
          <w:lang w:bidi="es-ES"/>
        </w:rPr>
        <w:br w:type="page"/>
      </w:r>
    </w:p>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66245B">
      <w:pPr>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2287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228725"/>
                        </a:xfrm>
                        <a:prstGeom prst="rect">
                          <a:avLst/>
                        </a:prstGeom>
                        <a:solidFill>
                          <a:srgbClr val="FFFFFF"/>
                        </a:solidFill>
                        <a:ln w="9525">
                          <a:solidFill>
                            <a:srgbClr val="000000"/>
                          </a:solidFill>
                          <a:miter lim="800000"/>
                          <a:headEnd/>
                          <a:tailEnd/>
                        </a:ln>
                      </wps:spPr>
                      <wps:txbx>
                        <w:txbxContent>
                          <w:p w:rsidR="00E60248" w:rsidRDefault="00E60248">
                            <w:pPr>
                              <w:rPr>
                                <w:b/>
                                <w:color w:val="00642D"/>
                              </w:rPr>
                            </w:pPr>
                            <w:r w:rsidRPr="00BD4582">
                              <w:rPr>
                                <w:b/>
                                <w:color w:val="00642D"/>
                              </w:rPr>
                              <w:t>Contenidos</w:t>
                            </w:r>
                          </w:p>
                          <w:p w:rsidR="00E60248" w:rsidRDefault="00E60248"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E60248">
                              <w:rPr>
                                <w:lang w:bidi="es-ES"/>
                              </w:rPr>
                              <w:t>recogen</w:t>
                            </w:r>
                            <w:r>
                              <w:rPr>
                                <w:lang w:bidi="es-ES"/>
                              </w:rPr>
                              <w:t xml:space="preserve"> la totalidad de las informaciones contempladas en los artículos 6 y 6 bis de la LTAIBG aplicables. </w:t>
                            </w:r>
                          </w:p>
                          <w:p w:rsidR="00E60248" w:rsidRDefault="00E602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96.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">
                <v:textbox>
                  <w:txbxContent>
                    <w:p w:rsidR="00E60248" w:rsidRDefault="00E60248">
                      <w:pPr>
                        <w:rPr>
                          <w:b/>
                          <w:color w:val="00642D"/>
                        </w:rPr>
                      </w:pPr>
                      <w:r w:rsidRPr="00BD4582">
                        <w:rPr>
                          <w:b/>
                          <w:color w:val="00642D"/>
                        </w:rPr>
                        <w:t>Contenidos</w:t>
                      </w:r>
                    </w:p>
                    <w:p w:rsidR="00E60248" w:rsidRDefault="00E60248"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E60248">
                        <w:rPr>
                          <w:lang w:bidi="es-ES"/>
                        </w:rPr>
                        <w:t>recogen</w:t>
                      </w:r>
                      <w:r>
                        <w:rPr>
                          <w:lang w:bidi="es-ES"/>
                        </w:rPr>
                        <w:t xml:space="preserve"> la totalidad de las informaciones contempladas en los artículos 6 y 6 bis de la LTAIBG aplicables. </w:t>
                      </w:r>
                    </w:p>
                    <w:p w:rsidR="00E60248" w:rsidRDefault="00E60248"/>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pPr>
        <w:rPr>
          <w:rStyle w:val="Ttulo2Car"/>
          <w:lang w:bidi="es-ES"/>
        </w:rPr>
      </w:pPr>
      <w:r>
        <w:rPr>
          <w:rStyle w:val="Ttulo2Car"/>
          <w:lang w:bidi="es-ES"/>
        </w:rPr>
        <w:br w:type="page"/>
      </w:r>
    </w:p>
    <w:p w:rsidR="00496460" w:rsidRDefault="00496460"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E60248" w:rsidP="00AA6AC0">
            <w:pPr>
              <w:pStyle w:val="Cuerpodelboletn"/>
              <w:spacing w:before="120" w:after="120" w:line="312" w:lineRule="auto"/>
              <w:rPr>
                <w:rStyle w:val="Ttulo2Car"/>
                <w:sz w:val="20"/>
                <w:szCs w:val="20"/>
                <w:lang w:bidi="es-ES"/>
              </w:rPr>
            </w:pPr>
            <w:r>
              <w:rPr>
                <w:sz w:val="20"/>
                <w:szCs w:val="20"/>
              </w:rPr>
              <w:t>No aplicable</w:t>
            </w:r>
            <w:r w:rsidR="00F63ED4">
              <w:rPr>
                <w:sz w:val="20"/>
                <w:szCs w:val="20"/>
              </w:rPr>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E60248" w:rsidP="009609E9">
            <w:pPr>
              <w:pStyle w:val="Cuerpodelboletn"/>
              <w:spacing w:before="120" w:after="120" w:line="312" w:lineRule="auto"/>
              <w:rPr>
                <w:rStyle w:val="Ttulo2Car"/>
                <w:sz w:val="20"/>
                <w:szCs w:val="20"/>
                <w:lang w:bidi="es-ES"/>
              </w:rPr>
            </w:pPr>
            <w:r w:rsidRPr="00E60248">
              <w:rPr>
                <w:sz w:val="20"/>
                <w:szCs w:val="20"/>
              </w:rPr>
              <w:t>No aplicable</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E60248" w:rsidP="009609E9">
            <w:pPr>
              <w:pStyle w:val="Cuerpodelboletn"/>
              <w:spacing w:before="120" w:after="120" w:line="312" w:lineRule="auto"/>
              <w:rPr>
                <w:rStyle w:val="Ttulo2Car"/>
                <w:sz w:val="20"/>
                <w:szCs w:val="20"/>
                <w:lang w:bidi="es-ES"/>
              </w:rPr>
            </w:pPr>
            <w:r w:rsidRPr="00E60248">
              <w:rPr>
                <w:sz w:val="20"/>
                <w:szCs w:val="20"/>
              </w:rPr>
              <w:t>No aplicable</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E60248" w:rsidP="009609E9">
            <w:pPr>
              <w:pStyle w:val="Cuerpodelboletn"/>
              <w:spacing w:before="120" w:after="120" w:line="312" w:lineRule="auto"/>
              <w:rPr>
                <w:rStyle w:val="Ttulo2Car"/>
                <w:sz w:val="20"/>
                <w:szCs w:val="20"/>
                <w:lang w:bidi="es-ES"/>
              </w:rPr>
            </w:pPr>
            <w:r w:rsidRPr="00E60248">
              <w:rPr>
                <w:sz w:val="20"/>
                <w:szCs w:val="20"/>
              </w:rPr>
              <w:t>No aplicable</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856435" w:rsidRDefault="00496460" w:rsidP="009609E9">
            <w:pPr>
              <w:pStyle w:val="Cuerpodelboletn"/>
              <w:spacing w:before="120" w:after="120" w:line="312" w:lineRule="auto"/>
              <w:rPr>
                <w:rStyle w:val="Ttulo2Car"/>
                <w:b w:val="0"/>
                <w:sz w:val="28"/>
                <w:szCs w:val="28"/>
                <w:lang w:bidi="es-ES"/>
              </w:rPr>
            </w:pPr>
            <w:r w:rsidRPr="00496460">
              <w:rPr>
                <w:bC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E60248" w:rsidP="00AA6AC0">
            <w:pPr>
              <w:pStyle w:val="Cuerpodelboletn"/>
              <w:spacing w:before="120" w:after="120" w:line="312" w:lineRule="auto"/>
              <w:rPr>
                <w:rStyle w:val="Ttulo2Car"/>
                <w:sz w:val="20"/>
                <w:szCs w:val="20"/>
                <w:lang w:bidi="es-ES"/>
              </w:rPr>
            </w:pPr>
            <w:r w:rsidRPr="00E60248">
              <w:rPr>
                <w:sz w:val="20"/>
                <w:szCs w:val="20"/>
              </w:rPr>
              <w:t>No se ha localizado información. El enlace a esta información en el Portal de Transparencia no está operativo.</w:t>
            </w: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CB5511" w:rsidRDefault="00610994"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F54C6B" w:rsidP="009609E9">
            <w:pPr>
              <w:pStyle w:val="Cuerpodelboletn"/>
              <w:spacing w:before="120" w:after="120" w:line="312" w:lineRule="auto"/>
              <w:rPr>
                <w:color w:val="FF0000"/>
                <w:sz w:val="20"/>
                <w:szCs w:val="20"/>
              </w:rPr>
            </w:pPr>
            <w:r w:rsidRPr="00F63ED4">
              <w:rPr>
                <w:sz w:val="20"/>
                <w:szCs w:val="20"/>
              </w:rPr>
              <w:t>No se ha localizado información</w:t>
            </w:r>
            <w:r w:rsidR="00E60248">
              <w:rPr>
                <w:sz w:val="20"/>
                <w:szCs w:val="20"/>
              </w:rPr>
              <w:t>. El enlace a esta información en el Portal de Transparencia no está operativo.</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63ED4" w:rsidRPr="00CB5511" w:rsidRDefault="00E60248" w:rsidP="00AA6AC0">
            <w:pPr>
              <w:pStyle w:val="Cuerpodelboletn"/>
              <w:spacing w:before="120" w:after="120" w:line="312" w:lineRule="auto"/>
              <w:rPr>
                <w:rStyle w:val="Ttulo2Car"/>
                <w:sz w:val="20"/>
                <w:szCs w:val="20"/>
                <w:lang w:bidi="es-ES"/>
              </w:rPr>
            </w:pPr>
            <w:r w:rsidRPr="00E60248">
              <w:rPr>
                <w:sz w:val="20"/>
                <w:szCs w:val="20"/>
              </w:rPr>
              <w:t>No aplicable</w:t>
            </w:r>
          </w:p>
        </w:tc>
      </w:tr>
    </w:tbl>
    <w:p w:rsidR="00856435" w:rsidRDefault="00856435" w:rsidP="00C33A23">
      <w:pPr>
        <w:pStyle w:val="Cuerpodelboletn"/>
        <w:spacing w:before="120" w:after="120" w:line="312" w:lineRule="auto"/>
        <w:ind w:left="360"/>
        <w:rPr>
          <w:rStyle w:val="Ttulo2Car"/>
          <w:color w:val="00642D"/>
          <w:lang w:bidi="es-ES"/>
        </w:rPr>
      </w:pPr>
    </w:p>
    <w:p w:rsidR="00C33A23" w:rsidRPr="00C33A23" w:rsidRDefault="00C33A23" w:rsidP="00F63ED4">
      <w:pPr>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60248" w:rsidRDefault="003F397C" w:rsidP="00856435">
                            <w:pPr>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00403775" w:rsidRPr="00403775">
                              <w:rPr>
                                <w:b/>
                                <w:lang w:bidi="es-ES"/>
                              </w:rPr>
                              <w:t xml:space="preserve">no </w:t>
                            </w:r>
                            <w:r w:rsidRPr="00403775">
                              <w:rPr>
                                <w:b/>
                                <w:lang w:bidi="es-ES"/>
                              </w:rPr>
                              <w:t>recogen</w:t>
                            </w:r>
                            <w:r>
                              <w:rPr>
                                <w:lang w:bidi="es-ES"/>
                              </w:rPr>
                              <w:t xml:space="preserve"> la totalidad de las informaciones contempladas en </w:t>
                            </w:r>
                            <w:proofErr w:type="gramStart"/>
                            <w:r w:rsidR="00403775">
                              <w:rPr>
                                <w:lang w:bidi="es-ES"/>
                              </w:rPr>
                              <w:t>el</w:t>
                            </w:r>
                            <w:proofErr w:type="gramEnd"/>
                            <w:r>
                              <w:rPr>
                                <w:lang w:bidi="es-ES"/>
                              </w:rPr>
                              <w:t xml:space="preserve"> artículos </w:t>
                            </w:r>
                            <w:r w:rsidR="00403775">
                              <w:rPr>
                                <w:lang w:bidi="es-ES"/>
                              </w:rPr>
                              <w:t>8 de la LTAIBG aplicables:</w:t>
                            </w:r>
                          </w:p>
                          <w:p w:rsidR="00403775" w:rsidRPr="00403775" w:rsidRDefault="00403775" w:rsidP="00403775">
                            <w:pPr>
                              <w:pStyle w:val="Prrafodelista"/>
                              <w:numPr>
                                <w:ilvl w:val="0"/>
                                <w:numId w:val="22"/>
                              </w:numPr>
                            </w:pPr>
                            <w:r w:rsidRPr="00403775">
                              <w:t>No se ha localizado información sobre convenios</w:t>
                            </w:r>
                          </w:p>
                          <w:p w:rsidR="00403775" w:rsidRPr="00403775" w:rsidRDefault="00403775" w:rsidP="00403775">
                            <w:pPr>
                              <w:pStyle w:val="Prrafodelista"/>
                              <w:numPr>
                                <w:ilvl w:val="0"/>
                                <w:numId w:val="22"/>
                              </w:numPr>
                            </w:pPr>
                            <w:r w:rsidRPr="00403775">
                              <w:t>No se ha localizado información sobre encomiendas de gestión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E60248" w:rsidRDefault="003F397C" w:rsidP="00856435">
                      <w:pPr>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00403775" w:rsidRPr="00403775">
                        <w:rPr>
                          <w:b/>
                          <w:lang w:bidi="es-ES"/>
                        </w:rPr>
                        <w:t xml:space="preserve">no </w:t>
                      </w:r>
                      <w:r w:rsidRPr="00403775">
                        <w:rPr>
                          <w:b/>
                          <w:lang w:bidi="es-ES"/>
                        </w:rPr>
                        <w:t>recogen</w:t>
                      </w:r>
                      <w:r>
                        <w:rPr>
                          <w:lang w:bidi="es-ES"/>
                        </w:rPr>
                        <w:t xml:space="preserve"> la totalidad de las informaciones contempladas en </w:t>
                      </w:r>
                      <w:proofErr w:type="gramStart"/>
                      <w:r w:rsidR="00403775">
                        <w:rPr>
                          <w:lang w:bidi="es-ES"/>
                        </w:rPr>
                        <w:t>el</w:t>
                      </w:r>
                      <w:proofErr w:type="gramEnd"/>
                      <w:r>
                        <w:rPr>
                          <w:lang w:bidi="es-ES"/>
                        </w:rPr>
                        <w:t xml:space="preserve"> artículos </w:t>
                      </w:r>
                      <w:r w:rsidR="00403775">
                        <w:rPr>
                          <w:lang w:bidi="es-ES"/>
                        </w:rPr>
                        <w:t>8 de la LTAIBG aplicables:</w:t>
                      </w:r>
                    </w:p>
                    <w:p w:rsidR="00403775" w:rsidRPr="00403775" w:rsidRDefault="00403775" w:rsidP="00403775">
                      <w:pPr>
                        <w:pStyle w:val="Prrafodelista"/>
                        <w:numPr>
                          <w:ilvl w:val="0"/>
                          <w:numId w:val="22"/>
                        </w:numPr>
                      </w:pPr>
                      <w:r w:rsidRPr="00403775">
                        <w:t>No se ha localizado información sobre convenios</w:t>
                      </w:r>
                    </w:p>
                    <w:p w:rsidR="00403775" w:rsidRPr="00403775" w:rsidRDefault="00403775" w:rsidP="00403775">
                      <w:pPr>
                        <w:pStyle w:val="Prrafodelista"/>
                        <w:numPr>
                          <w:ilvl w:val="0"/>
                          <w:numId w:val="22"/>
                        </w:numPr>
                      </w:pPr>
                      <w:r w:rsidRPr="00403775">
                        <w:t>No se ha localizado información sobre encomiendas de gestión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F63ED4" w:rsidRDefault="00F63ED4" w:rsidP="00C33A23">
      <w:pPr>
        <w:pStyle w:val="Cuerpodelboletn"/>
        <w:spacing w:before="120" w:after="120" w:line="312" w:lineRule="auto"/>
        <w:ind w:left="360"/>
        <w:rPr>
          <w:rStyle w:val="Ttulo2Car"/>
          <w:lang w:bidi="es-ES"/>
        </w:rPr>
      </w:pPr>
    </w:p>
    <w:p w:rsidR="00F63ED4" w:rsidRDefault="00F63ED4"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8466B" w:rsidRPr="00FD0689" w:rsidTr="0048466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8466B" w:rsidRPr="00FD0689" w:rsidRDefault="0048466B"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8466B">
              <w:rPr>
                <w:sz w:val="18"/>
                <w:szCs w:val="18"/>
              </w:rPr>
              <w:t>100,0</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8466B">
              <w:rPr>
                <w:sz w:val="18"/>
                <w:szCs w:val="18"/>
              </w:rPr>
              <w:t>100,0</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8466B">
              <w:rPr>
                <w:sz w:val="18"/>
                <w:szCs w:val="18"/>
              </w:rPr>
              <w:t>100,0</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8466B">
              <w:rPr>
                <w:sz w:val="18"/>
                <w:szCs w:val="18"/>
              </w:rPr>
              <w:t>100,0</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8466B">
              <w:rPr>
                <w:sz w:val="18"/>
                <w:szCs w:val="18"/>
              </w:rPr>
              <w:t>100,0</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8466B">
              <w:rPr>
                <w:sz w:val="18"/>
                <w:szCs w:val="18"/>
              </w:rPr>
              <w:t>100,0</w:t>
            </w:r>
          </w:p>
        </w:tc>
        <w:tc>
          <w:tcPr>
            <w:tcW w:w="0" w:type="auto"/>
            <w:noWrap/>
            <w:vAlign w:val="center"/>
          </w:tcPr>
          <w:p w:rsidR="0048466B" w:rsidRPr="0048466B" w:rsidRDefault="004F60B6" w:rsidP="0048466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100,0</w:t>
            </w:r>
          </w:p>
        </w:tc>
        <w:tc>
          <w:tcPr>
            <w:tcW w:w="0" w:type="auto"/>
            <w:noWrap/>
            <w:vAlign w:val="center"/>
          </w:tcPr>
          <w:p w:rsidR="0048466B" w:rsidRPr="0048466B" w:rsidRDefault="004F60B6" w:rsidP="0048466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100,0</w:t>
            </w:r>
          </w:p>
        </w:tc>
      </w:tr>
      <w:tr w:rsidR="0048466B" w:rsidRPr="00FD0689" w:rsidTr="0048466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8466B" w:rsidRPr="00FD0689" w:rsidRDefault="0048466B"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48466B" w:rsidRPr="0048466B" w:rsidRDefault="0048466B" w:rsidP="0048466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8466B">
              <w:rPr>
                <w:sz w:val="18"/>
                <w:szCs w:val="18"/>
              </w:rPr>
              <w:t>0,0</w:t>
            </w:r>
          </w:p>
        </w:tc>
        <w:tc>
          <w:tcPr>
            <w:tcW w:w="0" w:type="auto"/>
            <w:noWrap/>
            <w:vAlign w:val="center"/>
          </w:tcPr>
          <w:p w:rsidR="0048466B" w:rsidRPr="0048466B" w:rsidRDefault="0048466B" w:rsidP="0048466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8466B">
              <w:rPr>
                <w:sz w:val="18"/>
                <w:szCs w:val="18"/>
              </w:rPr>
              <w:t>0,0</w:t>
            </w:r>
          </w:p>
        </w:tc>
        <w:tc>
          <w:tcPr>
            <w:tcW w:w="0" w:type="auto"/>
            <w:noWrap/>
            <w:vAlign w:val="center"/>
          </w:tcPr>
          <w:p w:rsidR="0048466B" w:rsidRPr="0048466B" w:rsidRDefault="0048466B" w:rsidP="0048466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8466B">
              <w:rPr>
                <w:sz w:val="18"/>
                <w:szCs w:val="18"/>
              </w:rPr>
              <w:t>0,0</w:t>
            </w:r>
          </w:p>
        </w:tc>
        <w:tc>
          <w:tcPr>
            <w:tcW w:w="0" w:type="auto"/>
            <w:noWrap/>
            <w:vAlign w:val="center"/>
          </w:tcPr>
          <w:p w:rsidR="0048466B" w:rsidRPr="0048466B" w:rsidRDefault="0048466B" w:rsidP="0048466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8466B">
              <w:rPr>
                <w:sz w:val="18"/>
                <w:szCs w:val="18"/>
              </w:rPr>
              <w:t>0,0</w:t>
            </w:r>
          </w:p>
        </w:tc>
        <w:tc>
          <w:tcPr>
            <w:tcW w:w="0" w:type="auto"/>
            <w:noWrap/>
            <w:vAlign w:val="center"/>
          </w:tcPr>
          <w:p w:rsidR="0048466B" w:rsidRPr="0048466B" w:rsidRDefault="0048466B" w:rsidP="0048466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8466B">
              <w:rPr>
                <w:sz w:val="18"/>
                <w:szCs w:val="18"/>
              </w:rPr>
              <w:t>0,0</w:t>
            </w:r>
          </w:p>
        </w:tc>
        <w:tc>
          <w:tcPr>
            <w:tcW w:w="0" w:type="auto"/>
            <w:noWrap/>
            <w:vAlign w:val="center"/>
          </w:tcPr>
          <w:p w:rsidR="0048466B" w:rsidRPr="0048466B" w:rsidRDefault="0048466B" w:rsidP="0048466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8466B">
              <w:rPr>
                <w:sz w:val="18"/>
                <w:szCs w:val="18"/>
              </w:rPr>
              <w:t>0,0</w:t>
            </w:r>
          </w:p>
        </w:tc>
        <w:tc>
          <w:tcPr>
            <w:tcW w:w="0" w:type="auto"/>
            <w:noWrap/>
            <w:vAlign w:val="center"/>
          </w:tcPr>
          <w:p w:rsidR="0048466B" w:rsidRPr="0048466B" w:rsidRDefault="0048466B" w:rsidP="0048466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8466B">
              <w:rPr>
                <w:sz w:val="18"/>
                <w:szCs w:val="18"/>
              </w:rPr>
              <w:t>0,0</w:t>
            </w:r>
          </w:p>
        </w:tc>
        <w:tc>
          <w:tcPr>
            <w:tcW w:w="0" w:type="auto"/>
            <w:noWrap/>
            <w:vAlign w:val="center"/>
          </w:tcPr>
          <w:p w:rsidR="0048466B" w:rsidRPr="0048466B" w:rsidRDefault="0048466B" w:rsidP="0048466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8466B">
              <w:rPr>
                <w:sz w:val="18"/>
                <w:szCs w:val="18"/>
              </w:rPr>
              <w:t>0,0</w:t>
            </w:r>
          </w:p>
        </w:tc>
      </w:tr>
      <w:tr w:rsidR="0048466B" w:rsidRPr="00A94BCA" w:rsidTr="0048466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8466B" w:rsidRPr="002A154B" w:rsidRDefault="0048466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8466B">
              <w:rPr>
                <w:b/>
                <w:i/>
                <w:sz w:val="18"/>
                <w:szCs w:val="18"/>
              </w:rPr>
              <w:t>77,8</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8466B">
              <w:rPr>
                <w:b/>
                <w:i/>
                <w:sz w:val="18"/>
                <w:szCs w:val="18"/>
              </w:rPr>
              <w:t>77,8</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8466B">
              <w:rPr>
                <w:b/>
                <w:i/>
                <w:sz w:val="18"/>
                <w:szCs w:val="18"/>
              </w:rPr>
              <w:t>77,8</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8466B">
              <w:rPr>
                <w:b/>
                <w:i/>
                <w:sz w:val="18"/>
                <w:szCs w:val="18"/>
              </w:rPr>
              <w:t>77,8</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8466B">
              <w:rPr>
                <w:b/>
                <w:i/>
                <w:sz w:val="18"/>
                <w:szCs w:val="18"/>
              </w:rPr>
              <w:t>77,8</w:t>
            </w:r>
          </w:p>
        </w:tc>
        <w:tc>
          <w:tcPr>
            <w:tcW w:w="0" w:type="auto"/>
            <w:noWrap/>
            <w:vAlign w:val="center"/>
          </w:tcPr>
          <w:p w:rsidR="0048466B" w:rsidRPr="0048466B" w:rsidRDefault="0048466B" w:rsidP="0048466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8466B">
              <w:rPr>
                <w:b/>
                <w:i/>
                <w:sz w:val="18"/>
                <w:szCs w:val="18"/>
              </w:rPr>
              <w:t>77,8</w:t>
            </w:r>
          </w:p>
        </w:tc>
        <w:tc>
          <w:tcPr>
            <w:tcW w:w="0" w:type="auto"/>
            <w:noWrap/>
            <w:vAlign w:val="center"/>
          </w:tcPr>
          <w:p w:rsidR="0048466B" w:rsidRPr="0048466B" w:rsidRDefault="004F60B6" w:rsidP="0048466B">
            <w:pPr>
              <w:jc w:val="center"/>
              <w:cnfStyle w:val="000000100000" w:firstRow="0" w:lastRow="0" w:firstColumn="0" w:lastColumn="0" w:oddVBand="0" w:evenVBand="0" w:oddHBand="1" w:evenHBand="0" w:firstRowFirstColumn="0" w:firstRowLastColumn="0" w:lastRowFirstColumn="0" w:lastRowLastColumn="0"/>
              <w:rPr>
                <w:b/>
                <w:i/>
                <w:sz w:val="18"/>
                <w:szCs w:val="18"/>
              </w:rPr>
            </w:pPr>
            <w:r>
              <w:rPr>
                <w:b/>
                <w:i/>
                <w:sz w:val="18"/>
                <w:szCs w:val="18"/>
              </w:rPr>
              <w:t>77,8</w:t>
            </w:r>
          </w:p>
        </w:tc>
        <w:tc>
          <w:tcPr>
            <w:tcW w:w="0" w:type="auto"/>
            <w:noWrap/>
            <w:vAlign w:val="center"/>
          </w:tcPr>
          <w:p w:rsidR="0048466B" w:rsidRPr="0048466B" w:rsidRDefault="004F60B6" w:rsidP="0048466B">
            <w:pPr>
              <w:jc w:val="center"/>
              <w:cnfStyle w:val="000000100000" w:firstRow="0" w:lastRow="0" w:firstColumn="0" w:lastColumn="0" w:oddVBand="0" w:evenVBand="0" w:oddHBand="1" w:evenHBand="0" w:firstRowFirstColumn="0" w:firstRowLastColumn="0" w:lastRowFirstColumn="0" w:lastRowLastColumn="0"/>
              <w:rPr>
                <w:b/>
                <w:i/>
                <w:sz w:val="18"/>
                <w:szCs w:val="18"/>
              </w:rPr>
            </w:pPr>
            <w:r>
              <w:rPr>
                <w:b/>
                <w:i/>
                <w:sz w:val="18"/>
                <w:szCs w:val="18"/>
              </w:rPr>
              <w:t>77,8</w:t>
            </w:r>
          </w:p>
        </w:tc>
      </w:tr>
    </w:tbl>
    <w:p w:rsidR="00BD4582" w:rsidRDefault="00BD4582" w:rsidP="00BD4582">
      <w:pPr>
        <w:pStyle w:val="Cuerpodelboletn"/>
        <w:spacing w:before="120" w:after="120" w:line="312" w:lineRule="auto"/>
        <w:ind w:left="720"/>
        <w:rPr>
          <w:b/>
          <w:color w:val="50866C"/>
          <w:sz w:val="32"/>
        </w:rPr>
      </w:pPr>
    </w:p>
    <w:p w:rsidR="00DF2F9A" w:rsidRDefault="00DF2F9A" w:rsidP="00DF2F9A">
      <w:pPr>
        <w:jc w:val="both"/>
      </w:pPr>
      <w:r>
        <w:t xml:space="preserve">El Índice de Cumplimiento de la Información Obligatoria (ICIO) se sitúa en el </w:t>
      </w:r>
      <w:r w:rsidR="004F60B6">
        <w:t>77,8</w:t>
      </w:r>
      <w:r>
        <w:t xml:space="preserve">%. La falta de publicación de contenidos obligatorios – </w:t>
      </w:r>
      <w:r w:rsidR="0048466B">
        <w:t>no se publica información relativa a las dos obligaciones que son aplicables en el bloque de información económica</w:t>
      </w:r>
      <w:r>
        <w:t>–</w:t>
      </w:r>
      <w:r w:rsidR="004F60B6">
        <w:t xml:space="preserve"> </w:t>
      </w:r>
      <w:r>
        <w:t>explica el nivel de cumplimiento alcanzado.</w:t>
      </w:r>
    </w:p>
    <w:p w:rsidR="00DF2F9A" w:rsidRDefault="00DF2F9A" w:rsidP="00DF2F9A">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60248" w:rsidRDefault="00E60248">
                            <w:pPr>
                              <w:rPr>
                                <w:b/>
                                <w:color w:val="00642D"/>
                              </w:rPr>
                            </w:pPr>
                            <w:r w:rsidRPr="002A154B">
                              <w:rPr>
                                <w:b/>
                                <w:color w:val="00642D"/>
                              </w:rPr>
                              <w:t xml:space="preserve">Transparencia </w:t>
                            </w:r>
                            <w:r>
                              <w:rPr>
                                <w:b/>
                                <w:color w:val="00642D"/>
                              </w:rPr>
                              <w:t>Voluntaria</w:t>
                            </w:r>
                          </w:p>
                          <w:p w:rsidR="00E60248" w:rsidRDefault="00E60248" w:rsidP="004F3558">
                            <w:pPr>
                              <w:pStyle w:val="Cuerpodelboletn"/>
                              <w:spacing w:before="120" w:after="120" w:line="312" w:lineRule="auto"/>
                              <w:rPr>
                                <w:sz w:val="20"/>
                                <w:szCs w:val="20"/>
                              </w:rPr>
                            </w:pPr>
                            <w:r w:rsidRPr="00AA6AC0">
                              <w:rPr>
                                <w:sz w:val="20"/>
                                <w:szCs w:val="20"/>
                              </w:rPr>
                              <w:t xml:space="preserve">El Colegio Oficial </w:t>
                            </w:r>
                            <w:r w:rsidRPr="00AA6AC0">
                              <w:rPr>
                                <w:bCs/>
                                <w:sz w:val="20"/>
                                <w:szCs w:val="20"/>
                              </w:rPr>
                              <w:t>de Ingenieros Técnicos de Telecomunicación</w:t>
                            </w:r>
                            <w:r w:rsidRPr="00AA6AC0">
                              <w:rPr>
                                <w:sz w:val="20"/>
                                <w:szCs w:val="20"/>
                              </w:rP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w:t>
                            </w:r>
                            <w:r w:rsidR="005A5DC7">
                              <w:rPr>
                                <w:sz w:val="20"/>
                                <w:szCs w:val="20"/>
                              </w:rPr>
                              <w:t>Así, se publican las memorias anuales así como información presupuestaria, localizable en los anexos a estas memorias.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E60248" w:rsidRDefault="00E60248">
                      <w:pPr>
                        <w:rPr>
                          <w:b/>
                          <w:color w:val="00642D"/>
                        </w:rPr>
                      </w:pPr>
                      <w:r w:rsidRPr="002A154B">
                        <w:rPr>
                          <w:b/>
                          <w:color w:val="00642D"/>
                        </w:rPr>
                        <w:t xml:space="preserve">Transparencia </w:t>
                      </w:r>
                      <w:r>
                        <w:rPr>
                          <w:b/>
                          <w:color w:val="00642D"/>
                        </w:rPr>
                        <w:t>Voluntaria</w:t>
                      </w:r>
                    </w:p>
                    <w:p w:rsidR="00E60248" w:rsidRDefault="00E60248" w:rsidP="004F3558">
                      <w:pPr>
                        <w:pStyle w:val="Cuerpodelboletn"/>
                        <w:spacing w:before="120" w:after="120" w:line="312" w:lineRule="auto"/>
                        <w:rPr>
                          <w:sz w:val="20"/>
                          <w:szCs w:val="20"/>
                        </w:rPr>
                      </w:pPr>
                      <w:r w:rsidRPr="00AA6AC0">
                        <w:rPr>
                          <w:sz w:val="20"/>
                          <w:szCs w:val="20"/>
                        </w:rPr>
                        <w:t xml:space="preserve">El Colegio Oficial </w:t>
                      </w:r>
                      <w:r w:rsidRPr="00AA6AC0">
                        <w:rPr>
                          <w:bCs/>
                          <w:sz w:val="20"/>
                          <w:szCs w:val="20"/>
                        </w:rPr>
                        <w:t>de Ingenieros Técnicos de Telecomunicación</w:t>
                      </w:r>
                      <w:r w:rsidRPr="00AA6AC0">
                        <w:rPr>
                          <w:sz w:val="20"/>
                          <w:szCs w:val="20"/>
                        </w:rP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w:t>
                      </w:r>
                      <w:r w:rsidR="005A5DC7">
                        <w:rPr>
                          <w:sz w:val="20"/>
                          <w:szCs w:val="20"/>
                        </w:rPr>
                        <w:t>Así, se publican las memorias anuales así como información presupuestaria, localizable en los anexos a estas memorias.</w:t>
                      </w:r>
                    </w:p>
                  </w:txbxContent>
                </v:textbox>
              </v:shape>
            </w:pict>
          </mc:Fallback>
        </mc:AlternateContent>
      </w:r>
    </w:p>
    <w:p w:rsidR="00932008" w:rsidRDefault="00932008"/>
    <w:p w:rsidR="00932008" w:rsidRDefault="00932008"/>
    <w:p w:rsidR="00932008" w:rsidRDefault="00932008"/>
    <w:p w:rsidR="00932008" w:rsidRDefault="00932008"/>
    <w:p w:rsidR="003A6302" w:rsidRDefault="003A6302"/>
    <w:p w:rsidR="004F3558" w:rsidRDefault="004F3558">
      <w:r w:rsidRPr="002A154B">
        <w:rPr>
          <w:noProof/>
          <w:u w:val="single"/>
        </w:rPr>
        <mc:AlternateContent>
          <mc:Choice Requires="wps">
            <w:drawing>
              <wp:anchor distT="0" distB="0" distL="114300" distR="114300" simplePos="0" relativeHeight="251673600" behindDoc="0" locked="0" layoutInCell="1" allowOverlap="1" wp14:anchorId="1DFCE17E" wp14:editId="09636BBA">
                <wp:simplePos x="0" y="0"/>
                <wp:positionH relativeFrom="column">
                  <wp:posOffset>180975</wp:posOffset>
                </wp:positionH>
                <wp:positionV relativeFrom="paragraph">
                  <wp:posOffset>156210</wp:posOffset>
                </wp:positionV>
                <wp:extent cx="6264910" cy="14001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0175"/>
                        </a:xfrm>
                        <a:prstGeom prst="rect">
                          <a:avLst/>
                        </a:prstGeom>
                        <a:solidFill>
                          <a:srgbClr val="FFFFFF"/>
                        </a:solidFill>
                        <a:ln w="9525">
                          <a:solidFill>
                            <a:srgbClr val="000000"/>
                          </a:solidFill>
                          <a:miter lim="800000"/>
                          <a:headEnd/>
                          <a:tailEnd/>
                        </a:ln>
                      </wps:spPr>
                      <wps:txbx>
                        <w:txbxContent>
                          <w:p w:rsidR="00E60248" w:rsidRDefault="00E60248" w:rsidP="002A154B">
                            <w:pPr>
                              <w:rPr>
                                <w:b/>
                                <w:color w:val="00642D"/>
                              </w:rPr>
                            </w:pPr>
                            <w:r>
                              <w:rPr>
                                <w:b/>
                                <w:color w:val="00642D"/>
                              </w:rPr>
                              <w:t>Buenas Prácticas</w:t>
                            </w:r>
                          </w:p>
                          <w:p w:rsidR="00E60248" w:rsidRPr="005173F3" w:rsidRDefault="005A5DC7" w:rsidP="005173F3">
                            <w:pPr>
                              <w:keepNext/>
                              <w:keepLines/>
                              <w:spacing w:before="480" w:after="0"/>
                              <w:jc w:val="both"/>
                              <w:outlineLvl w:val="0"/>
                              <w:rPr>
                                <w:sz w:val="20"/>
                                <w:szCs w:val="20"/>
                              </w:rPr>
                            </w:pPr>
                            <w:r>
                              <w:rPr>
                                <w:sz w:val="20"/>
                                <w:szCs w:val="20"/>
                              </w:rPr>
                              <w:t>Como buena práctica aplicable a otras organizaciones sujetas a obligaciones de publicidad activa cabe destacar la inclusión de textos informativos sobre la no aplicabilidad de determinadas informaciones al no haberse producido actividad en este ámbito concreto</w:t>
                            </w:r>
                            <w:r w:rsidR="00E60248" w:rsidRPr="005173F3">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12.3pt;width:493.3pt;height:1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">
                <v:textbox>
                  <w:txbxContent>
                    <w:p w:rsidR="00E60248" w:rsidRDefault="00E60248" w:rsidP="002A154B">
                      <w:pPr>
                        <w:rPr>
                          <w:b/>
                          <w:color w:val="00642D"/>
                        </w:rPr>
                      </w:pPr>
                      <w:r>
                        <w:rPr>
                          <w:b/>
                          <w:color w:val="00642D"/>
                        </w:rPr>
                        <w:t>Buenas Prácticas</w:t>
                      </w:r>
                    </w:p>
                    <w:p w:rsidR="00E60248" w:rsidRPr="005173F3" w:rsidRDefault="005A5DC7" w:rsidP="005173F3">
                      <w:pPr>
                        <w:keepNext/>
                        <w:keepLines/>
                        <w:spacing w:before="480" w:after="0"/>
                        <w:jc w:val="both"/>
                        <w:outlineLvl w:val="0"/>
                        <w:rPr>
                          <w:sz w:val="20"/>
                          <w:szCs w:val="20"/>
                        </w:rPr>
                      </w:pPr>
                      <w:r>
                        <w:rPr>
                          <w:sz w:val="20"/>
                          <w:szCs w:val="20"/>
                        </w:rPr>
                        <w:t>Como buena práctica aplicable a otras organizaciones sujetas a obligaciones de publicidad activa cabe destacar la inclusión de textos informativos sobre la no aplicabilidad de determinadas informaciones al no haberse producido actividad en este ámbito concreto</w:t>
                      </w:r>
                      <w:r w:rsidR="00E60248" w:rsidRPr="005173F3">
                        <w:rPr>
                          <w:sz w:val="20"/>
                          <w:szCs w:val="20"/>
                        </w:rPr>
                        <w:t>.</w:t>
                      </w:r>
                    </w:p>
                  </w:txbxContent>
                </v:textbox>
              </v:shape>
            </w:pict>
          </mc:Fallback>
        </mc:AlternateContent>
      </w:r>
    </w:p>
    <w:p w:rsidR="004F3558" w:rsidRDefault="004F3558"/>
    <w:p w:rsidR="004F3558" w:rsidRDefault="004F3558"/>
    <w:p w:rsidR="0048466B" w:rsidRDefault="0048466B"/>
    <w:p w:rsidR="0048466B" w:rsidRDefault="0048466B"/>
    <w:p w:rsidR="004F3558" w:rsidRDefault="004F3558"/>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C40B65">
        <w:t xml:space="preserve">Colegio Oficial </w:t>
      </w:r>
      <w:r w:rsidR="00C40B65">
        <w:rPr>
          <w:bCs/>
        </w:rPr>
        <w:t>de Ingenieros Técnicos de Telecomunicación</w:t>
      </w:r>
      <w:r w:rsidR="00D34AC7">
        <w:t xml:space="preserve"> </w:t>
      </w:r>
      <w:r>
        <w:t xml:space="preserve">en función de la información disponible en su </w:t>
      </w:r>
      <w:r w:rsidR="00973389">
        <w:t>página</w:t>
      </w:r>
      <w:r>
        <w:t xml:space="preserve"> alcanza el </w:t>
      </w:r>
      <w:r w:rsidR="007D3377">
        <w:t>77,8</w:t>
      </w:r>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C40B65">
        <w:t xml:space="preserve">Colegio Oficial </w:t>
      </w:r>
      <w:r w:rsidR="00C40B65">
        <w:rPr>
          <w:bCs/>
        </w:rPr>
        <w:t>de Ingenieros Técnicos de Telecomunicación</w:t>
      </w:r>
      <w:r w:rsidRPr="00973389">
        <w:t>,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bookmarkStart w:id="0" w:name="_GoBack"/>
      <w:bookmarkEnd w:id="0"/>
    </w:p>
    <w:p w:rsidR="003A6302" w:rsidRDefault="003A6302" w:rsidP="003A6302">
      <w:pPr>
        <w:spacing w:before="120" w:after="120" w:line="312" w:lineRule="auto"/>
        <w:jc w:val="both"/>
        <w:rPr>
          <w:b/>
          <w:color w:val="00642D"/>
        </w:rPr>
      </w:pPr>
      <w:r>
        <w:rPr>
          <w:b/>
          <w:color w:val="00642D"/>
        </w:rPr>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Económica</w:t>
      </w:r>
      <w:r w:rsidR="00973389">
        <w:rPr>
          <w:b/>
          <w:color w:val="00642D"/>
        </w:rPr>
        <w:t xml:space="preserve"> y</w:t>
      </w:r>
      <w:r>
        <w:rPr>
          <w:b/>
          <w:color w:val="00642D"/>
        </w:rPr>
        <w:t xml:space="preserve"> Presupuestaria</w:t>
      </w:r>
      <w:r w:rsidR="00973389">
        <w:rPr>
          <w:b/>
          <w:color w:val="00642D"/>
        </w:rPr>
        <w:t>.</w:t>
      </w:r>
    </w:p>
    <w:p w:rsidR="00333D82" w:rsidRDefault="00333D82" w:rsidP="00333D82">
      <w:pPr>
        <w:spacing w:before="120" w:after="120" w:line="312" w:lineRule="auto"/>
        <w:jc w:val="both"/>
        <w:outlineLvl w:val="1"/>
        <w:rPr>
          <w:b/>
          <w:color w:val="00642D"/>
        </w:rPr>
      </w:pPr>
      <w:r>
        <w:rPr>
          <w:b/>
          <w:color w:val="00642D"/>
        </w:rPr>
        <w:t>Información Económica y Presupuestaria.</w:t>
      </w:r>
    </w:p>
    <w:p w:rsidR="00333D82" w:rsidRDefault="00333D82" w:rsidP="00333D82">
      <w:pPr>
        <w:pStyle w:val="Prrafodelista"/>
        <w:numPr>
          <w:ilvl w:val="0"/>
          <w:numId w:val="12"/>
        </w:numPr>
        <w:spacing w:before="120" w:after="120" w:line="312" w:lineRule="auto"/>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duración, modificaciones, obligados a la realización de prestaciones y obligaciones económicas, en su caso.</w:t>
      </w:r>
    </w:p>
    <w:p w:rsidR="00333D82" w:rsidRDefault="00333D82" w:rsidP="00333D82">
      <w:pPr>
        <w:pStyle w:val="Prrafodelista"/>
        <w:numPr>
          <w:ilvl w:val="0"/>
          <w:numId w:val="12"/>
        </w:numPr>
        <w:spacing w:before="120" w:after="120" w:line="312" w:lineRule="auto"/>
        <w:jc w:val="both"/>
        <w:rPr>
          <w:lang w:bidi="es-ES"/>
        </w:rPr>
      </w:pPr>
      <w:r>
        <w:rPr>
          <w:lang w:bidi="es-ES"/>
        </w:rPr>
        <w:t>También debe informarse sobre las encomiendas de gestión que se firmen, con indicación de su objeto, presupuesto, duración y obligaciones económicas.</w:t>
      </w:r>
    </w:p>
    <w:p w:rsidR="00333D82" w:rsidRDefault="00333D82" w:rsidP="00333D82">
      <w:pPr>
        <w:spacing w:before="120" w:after="120" w:line="312" w:lineRule="auto"/>
        <w:ind w:left="360"/>
        <w:jc w:val="both"/>
      </w:pPr>
    </w:p>
    <w:p w:rsidR="00333D82" w:rsidRDefault="00333D82" w:rsidP="00333D82">
      <w:pPr>
        <w:spacing w:before="120" w:after="120" w:line="312" w:lineRule="auto"/>
        <w:jc w:val="both"/>
        <w:outlineLvl w:val="1"/>
        <w:rPr>
          <w:b/>
          <w:color w:val="00642D"/>
        </w:rPr>
      </w:pPr>
      <w:r>
        <w:rPr>
          <w:b/>
          <w:color w:val="00642D"/>
        </w:rPr>
        <w:t>Calidad de la Información.</w:t>
      </w:r>
    </w:p>
    <w:p w:rsidR="00333D82" w:rsidRDefault="00333D82" w:rsidP="00333D82">
      <w:pPr>
        <w:pStyle w:val="Prrafodelista"/>
        <w:numPr>
          <w:ilvl w:val="0"/>
          <w:numId w:val="14"/>
        </w:numPr>
        <w:spacing w:before="120" w:after="120" w:line="312" w:lineRule="auto"/>
        <w:ind w:left="714" w:right="-24" w:hanging="357"/>
        <w:jc w:val="both"/>
      </w:pPr>
      <w:r>
        <w:t>Sería deseable que toda la información sujeta a obligaciones de publicidad activa se localizase dentro del Portal de Transparencia de la entidad, bien directamente, bien a través de un enlace.</w:t>
      </w:r>
    </w:p>
    <w:p w:rsidR="00E7409C" w:rsidRDefault="003A6302" w:rsidP="00E874ED">
      <w:pPr>
        <w:jc w:val="right"/>
      </w:pPr>
      <w:r>
        <w:t xml:space="preserve">Madrid, </w:t>
      </w:r>
      <w:r w:rsidR="0048466B">
        <w:t>octubre</w:t>
      </w:r>
      <w:r>
        <w:t xml:space="preserve"> de 2021 </w:t>
      </w:r>
    </w:p>
    <w:p w:rsidR="00E7409C" w:rsidRDefault="00E7409C">
      <w:r>
        <w:br w:type="page"/>
      </w:r>
    </w:p>
    <w:p w:rsidR="00CA4FB1" w:rsidRDefault="00CA4FB1"/>
    <w:p w:rsidR="00CA4FB1" w:rsidRPr="00CA4FB1" w:rsidRDefault="007D3377"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5"/>
      <w:headerReference w:type="default" r:id="rId16"/>
      <w:footerReference w:type="default" r:id="rId17"/>
      <w:head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48" w:rsidRDefault="00E60248" w:rsidP="00932008">
      <w:pPr>
        <w:spacing w:after="0" w:line="240" w:lineRule="auto"/>
      </w:pPr>
      <w:r>
        <w:separator/>
      </w:r>
    </w:p>
  </w:endnote>
  <w:endnote w:type="continuationSeparator" w:id="0">
    <w:p w:rsidR="00E60248" w:rsidRDefault="00E6024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38502"/>
      <w:docPartObj>
        <w:docPartGallery w:val="Page Numbers (Bottom of Page)"/>
        <w:docPartUnique/>
      </w:docPartObj>
    </w:sdtPr>
    <w:sdtEndPr>
      <w:rPr>
        <w:sz w:val="18"/>
        <w:szCs w:val="18"/>
      </w:rPr>
    </w:sdtEndPr>
    <w:sdtContent>
      <w:p w:rsidR="00E60248" w:rsidRPr="00141E38" w:rsidRDefault="00E60248">
        <w:pPr>
          <w:pStyle w:val="Piedepgina"/>
          <w:jc w:val="center"/>
          <w:rPr>
            <w:sz w:val="18"/>
            <w:szCs w:val="18"/>
          </w:rPr>
        </w:pPr>
        <w:r w:rsidRPr="00141E38">
          <w:rPr>
            <w:sz w:val="18"/>
            <w:szCs w:val="18"/>
          </w:rPr>
          <w:fldChar w:fldCharType="begin"/>
        </w:r>
        <w:r w:rsidRPr="00141E38">
          <w:rPr>
            <w:sz w:val="18"/>
            <w:szCs w:val="18"/>
          </w:rPr>
          <w:instrText>PAGE   \* MERGEFORMAT</w:instrText>
        </w:r>
        <w:r w:rsidRPr="00141E38">
          <w:rPr>
            <w:sz w:val="18"/>
            <w:szCs w:val="18"/>
          </w:rPr>
          <w:fldChar w:fldCharType="separate"/>
        </w:r>
        <w:r w:rsidR="007D3377">
          <w:rPr>
            <w:noProof/>
            <w:sz w:val="18"/>
            <w:szCs w:val="18"/>
          </w:rPr>
          <w:t>8</w:t>
        </w:r>
        <w:r w:rsidRPr="00141E38">
          <w:rPr>
            <w:sz w:val="18"/>
            <w:szCs w:val="18"/>
          </w:rPr>
          <w:fldChar w:fldCharType="end"/>
        </w:r>
      </w:p>
    </w:sdtContent>
  </w:sdt>
  <w:p w:rsidR="00E60248" w:rsidRDefault="00E602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48" w:rsidRDefault="00E60248" w:rsidP="00932008">
      <w:pPr>
        <w:spacing w:after="0" w:line="240" w:lineRule="auto"/>
      </w:pPr>
      <w:r>
        <w:separator/>
      </w:r>
    </w:p>
  </w:footnote>
  <w:footnote w:type="continuationSeparator" w:id="0">
    <w:p w:rsidR="00E60248" w:rsidRDefault="00E6024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48" w:rsidRDefault="00E602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48" w:rsidRDefault="00E6024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48" w:rsidRDefault="00E602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173B5F"/>
    <w:multiLevelType w:val="hybridMultilevel"/>
    <w:tmpl w:val="EF9823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290A27DC"/>
    <w:multiLevelType w:val="hybridMultilevel"/>
    <w:tmpl w:val="DAEE7B3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4DE466B6"/>
    <w:multiLevelType w:val="hybridMultilevel"/>
    <w:tmpl w:val="2340B17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4">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735E3DDD"/>
    <w:multiLevelType w:val="hybridMultilevel"/>
    <w:tmpl w:val="F6A601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0"/>
  </w:num>
  <w:num w:numId="5">
    <w:abstractNumId w:val="10"/>
  </w:num>
  <w:num w:numId="6">
    <w:abstractNumId w:val="18"/>
  </w:num>
  <w:num w:numId="7">
    <w:abstractNumId w:val="17"/>
  </w:num>
  <w:num w:numId="8">
    <w:abstractNumId w:val="6"/>
  </w:num>
  <w:num w:numId="9">
    <w:abstractNumId w:val="0"/>
  </w:num>
  <w:num w:numId="10">
    <w:abstractNumId w:val="16"/>
  </w:num>
  <w:num w:numId="11">
    <w:abstractNumId w:val="7"/>
  </w:num>
  <w:num w:numId="12">
    <w:abstractNumId w:val="3"/>
  </w:num>
  <w:num w:numId="13">
    <w:abstractNumId w:val="5"/>
  </w:num>
  <w:num w:numId="14">
    <w:abstractNumId w:val="14"/>
  </w:num>
  <w:num w:numId="15">
    <w:abstractNumId w:val="13"/>
  </w:num>
  <w:num w:numId="16">
    <w:abstractNumId w:val="0"/>
  </w:num>
  <w:num w:numId="17">
    <w:abstractNumId w:val="3"/>
  </w:num>
  <w:num w:numId="18">
    <w:abstractNumId w:val="9"/>
  </w:num>
  <w:num w:numId="19">
    <w:abstractNumId w:val="8"/>
  </w:num>
  <w:num w:numId="20">
    <w:abstractNumId w:val="4"/>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0F5F"/>
    <w:rsid w:val="0007446F"/>
    <w:rsid w:val="000965B3"/>
    <w:rsid w:val="000C6CFF"/>
    <w:rsid w:val="000E5A3F"/>
    <w:rsid w:val="000E785B"/>
    <w:rsid w:val="00102733"/>
    <w:rsid w:val="00122555"/>
    <w:rsid w:val="00137F9A"/>
    <w:rsid w:val="00141E38"/>
    <w:rsid w:val="00147FAC"/>
    <w:rsid w:val="00154A2C"/>
    <w:rsid w:val="001561A4"/>
    <w:rsid w:val="00170FF6"/>
    <w:rsid w:val="001B6CAC"/>
    <w:rsid w:val="001D3520"/>
    <w:rsid w:val="001D3DE0"/>
    <w:rsid w:val="001D4917"/>
    <w:rsid w:val="001E5084"/>
    <w:rsid w:val="002421DF"/>
    <w:rsid w:val="002661AA"/>
    <w:rsid w:val="00277C52"/>
    <w:rsid w:val="002A154B"/>
    <w:rsid w:val="002C6B83"/>
    <w:rsid w:val="002F54A2"/>
    <w:rsid w:val="00333D82"/>
    <w:rsid w:val="0035631E"/>
    <w:rsid w:val="00363B28"/>
    <w:rsid w:val="003667EC"/>
    <w:rsid w:val="003718B9"/>
    <w:rsid w:val="003A3591"/>
    <w:rsid w:val="003A6302"/>
    <w:rsid w:val="003B38AF"/>
    <w:rsid w:val="003C63A1"/>
    <w:rsid w:val="003D1089"/>
    <w:rsid w:val="003E12E2"/>
    <w:rsid w:val="003F271E"/>
    <w:rsid w:val="003F397C"/>
    <w:rsid w:val="003F572A"/>
    <w:rsid w:val="00403775"/>
    <w:rsid w:val="004709E0"/>
    <w:rsid w:val="0048466B"/>
    <w:rsid w:val="00496460"/>
    <w:rsid w:val="0049763B"/>
    <w:rsid w:val="004A3C22"/>
    <w:rsid w:val="004C28FE"/>
    <w:rsid w:val="004F2655"/>
    <w:rsid w:val="004F3558"/>
    <w:rsid w:val="004F53ED"/>
    <w:rsid w:val="004F60B6"/>
    <w:rsid w:val="005173F3"/>
    <w:rsid w:val="00521DA9"/>
    <w:rsid w:val="005313F4"/>
    <w:rsid w:val="00544E0C"/>
    <w:rsid w:val="00561402"/>
    <w:rsid w:val="00567A7B"/>
    <w:rsid w:val="0057532F"/>
    <w:rsid w:val="0059693A"/>
    <w:rsid w:val="005A5DC7"/>
    <w:rsid w:val="005B19E4"/>
    <w:rsid w:val="005C0AA8"/>
    <w:rsid w:val="005E03EF"/>
    <w:rsid w:val="005E7497"/>
    <w:rsid w:val="005F29B8"/>
    <w:rsid w:val="00610994"/>
    <w:rsid w:val="0066245B"/>
    <w:rsid w:val="00671D67"/>
    <w:rsid w:val="00680D94"/>
    <w:rsid w:val="006A2766"/>
    <w:rsid w:val="006A6C55"/>
    <w:rsid w:val="006C3D22"/>
    <w:rsid w:val="006C4B7D"/>
    <w:rsid w:val="006E5667"/>
    <w:rsid w:val="006F7A5C"/>
    <w:rsid w:val="00710031"/>
    <w:rsid w:val="00743756"/>
    <w:rsid w:val="00762903"/>
    <w:rsid w:val="007B0F99"/>
    <w:rsid w:val="007C363B"/>
    <w:rsid w:val="007D3377"/>
    <w:rsid w:val="00800F2E"/>
    <w:rsid w:val="0080675C"/>
    <w:rsid w:val="00815239"/>
    <w:rsid w:val="0081737A"/>
    <w:rsid w:val="00817A3A"/>
    <w:rsid w:val="00822B8D"/>
    <w:rsid w:val="00844FA9"/>
    <w:rsid w:val="00856435"/>
    <w:rsid w:val="00873EA9"/>
    <w:rsid w:val="008C1E1E"/>
    <w:rsid w:val="0092723A"/>
    <w:rsid w:val="00932008"/>
    <w:rsid w:val="00940911"/>
    <w:rsid w:val="00952AFE"/>
    <w:rsid w:val="0095773B"/>
    <w:rsid w:val="009609E9"/>
    <w:rsid w:val="00973389"/>
    <w:rsid w:val="009A48E8"/>
    <w:rsid w:val="009C2CC2"/>
    <w:rsid w:val="009C5761"/>
    <w:rsid w:val="009D6F8A"/>
    <w:rsid w:val="00A24406"/>
    <w:rsid w:val="00AA6AC0"/>
    <w:rsid w:val="00AD2022"/>
    <w:rsid w:val="00B103F4"/>
    <w:rsid w:val="00B40246"/>
    <w:rsid w:val="00B4725E"/>
    <w:rsid w:val="00B64559"/>
    <w:rsid w:val="00B8237E"/>
    <w:rsid w:val="00B841AE"/>
    <w:rsid w:val="00BB5944"/>
    <w:rsid w:val="00BB6799"/>
    <w:rsid w:val="00BB74A7"/>
    <w:rsid w:val="00BD4582"/>
    <w:rsid w:val="00BD7521"/>
    <w:rsid w:val="00BE6A46"/>
    <w:rsid w:val="00C33A23"/>
    <w:rsid w:val="00C40B65"/>
    <w:rsid w:val="00C5744D"/>
    <w:rsid w:val="00C65B5B"/>
    <w:rsid w:val="00C73F10"/>
    <w:rsid w:val="00C77304"/>
    <w:rsid w:val="00C77588"/>
    <w:rsid w:val="00CA4FB1"/>
    <w:rsid w:val="00CB5511"/>
    <w:rsid w:val="00CB5F4C"/>
    <w:rsid w:val="00CC02A3"/>
    <w:rsid w:val="00CC2049"/>
    <w:rsid w:val="00D1242F"/>
    <w:rsid w:val="00D17BA3"/>
    <w:rsid w:val="00D34AC7"/>
    <w:rsid w:val="00D732B3"/>
    <w:rsid w:val="00D96F84"/>
    <w:rsid w:val="00DE4548"/>
    <w:rsid w:val="00DF2F9A"/>
    <w:rsid w:val="00DF5F2A"/>
    <w:rsid w:val="00DF63E7"/>
    <w:rsid w:val="00E3088D"/>
    <w:rsid w:val="00E34195"/>
    <w:rsid w:val="00E4270D"/>
    <w:rsid w:val="00E46A54"/>
    <w:rsid w:val="00E47613"/>
    <w:rsid w:val="00E60248"/>
    <w:rsid w:val="00E7409C"/>
    <w:rsid w:val="00E874ED"/>
    <w:rsid w:val="00E94A97"/>
    <w:rsid w:val="00EA626A"/>
    <w:rsid w:val="00EE2893"/>
    <w:rsid w:val="00EF62ED"/>
    <w:rsid w:val="00F14DA4"/>
    <w:rsid w:val="00F25949"/>
    <w:rsid w:val="00F47C3B"/>
    <w:rsid w:val="00F54C6B"/>
    <w:rsid w:val="00F63ED4"/>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6A6C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6A6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lecos.zone"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2.coit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43F85"/>
    <w:rsid w:val="0013771E"/>
    <w:rsid w:val="00307EB1"/>
    <w:rsid w:val="003D088C"/>
    <w:rsid w:val="004F291A"/>
    <w:rsid w:val="006B03EA"/>
    <w:rsid w:val="007607C8"/>
    <w:rsid w:val="00867519"/>
    <w:rsid w:val="00945E48"/>
    <w:rsid w:val="00C213AB"/>
    <w:rsid w:val="00D14363"/>
    <w:rsid w:val="00D35513"/>
    <w:rsid w:val="00DB6AC1"/>
    <w:rsid w:val="00DE4B57"/>
    <w:rsid w:val="00F44D0E"/>
    <w:rsid w:val="00FA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D582363-748F-459B-B100-03E4DCA0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1161</TotalTime>
  <Pages>9</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9</cp:revision>
  <cp:lastPrinted>2007-10-26T10:03:00Z</cp:lastPrinted>
  <dcterms:created xsi:type="dcterms:W3CDTF">2021-10-19T12:32:00Z</dcterms:created>
  <dcterms:modified xsi:type="dcterms:W3CDTF">2021-11-02T09:40:00Z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