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0"/>
            <w:gridCol w:w="2778"/>
            <w:gridCol w:w="1561"/>
            <w:gridCol w:w="3912"/>
          </w:tblGrid>
          <w:tr w:rsidR="008876B2" w:rsidTr="008876B2">
            <w:tc>
              <w:tcPr>
                <w:tcW w:w="1050" w:type="dxa"/>
                <w:vAlign w:val="center"/>
              </w:tcPr>
              <w:p w:rsidR="00743995" w:rsidRDefault="00743995">
                <w:pPr>
                  <w:pStyle w:val="Sinespaciado"/>
                </w:pPr>
              </w:p>
            </w:tc>
            <w:tc>
              <w:tcPr>
                <w:tcW w:w="2778" w:type="dxa"/>
                <w:vAlign w:val="center"/>
              </w:tcPr>
              <w:p w:rsidR="00743995" w:rsidRDefault="00743995">
                <w:pPr>
                  <w:pStyle w:val="Sinespaciado"/>
                </w:pPr>
              </w:p>
            </w:tc>
            <w:tc>
              <w:tcPr>
                <w:tcW w:w="5473" w:type="dxa"/>
                <w:gridSpan w:val="2"/>
                <w:vAlign w:val="center"/>
              </w:tcPr>
              <w:p w:rsidR="00743995" w:rsidRDefault="00743995">
                <w:pPr>
                  <w:pStyle w:val="Sinespaciado"/>
                </w:pPr>
              </w:p>
            </w:tc>
          </w:tr>
          <w:tr w:rsidR="008876B2"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52"/>
                  <w:gridCol w:w="2646"/>
                </w:tblGrid>
                <w:tr w:rsidR="00743995">
                  <w:trPr>
                    <w:trHeight w:hRule="exact" w:val="86"/>
                  </w:trPr>
                  <w:tc>
                    <w:tcPr>
                      <w:tcW w:w="990" w:type="dxa"/>
                    </w:tcPr>
                    <w:p w:rsidR="00743995" w:rsidRDefault="00743995">
                      <w:pPr>
                        <w:pStyle w:val="Sinespaciado"/>
                        <w:framePr w:hSpace="187" w:wrap="around" w:hAnchor="text" w:yAlign="bottom"/>
                        <w:suppressOverlap/>
                      </w:pPr>
                    </w:p>
                  </w:tc>
                  <w:tc>
                    <w:tcPr>
                      <w:tcW w:w="2754" w:type="dxa"/>
                      <w:tcBorders>
                        <w:top w:val="single" w:sz="6" w:space="0" w:color="438086" w:themeColor="accent2"/>
                        <w:bottom w:val="single" w:sz="24" w:space="0" w:color="438086" w:themeColor="accent2"/>
                      </w:tcBorders>
                    </w:tcPr>
                    <w:p w:rsidR="00743995" w:rsidRDefault="00743995">
                      <w:pPr>
                        <w:pStyle w:val="Sinespaciado"/>
                        <w:framePr w:hSpace="187" w:wrap="around" w:hAnchor="text" w:yAlign="bottom"/>
                        <w:suppressOverlap/>
                      </w:pPr>
                    </w:p>
                  </w:tc>
                </w:tr>
                <w:tr w:rsidR="00743995">
                  <w:trPr>
                    <w:trHeight w:hRule="exact" w:val="86"/>
                  </w:trPr>
                  <w:tc>
                    <w:tcPr>
                      <w:tcW w:w="990" w:type="dxa"/>
                      <w:tcBorders>
                        <w:bottom w:val="single" w:sz="2" w:space="0" w:color="438086" w:themeColor="accent2"/>
                      </w:tcBorders>
                    </w:tcPr>
                    <w:p w:rsidR="00743995" w:rsidRDefault="00743995">
                      <w:pPr>
                        <w:pStyle w:val="Sinespaciado"/>
                        <w:framePr w:hSpace="187" w:wrap="around" w:hAnchor="text" w:yAlign="bottom"/>
                        <w:suppressOverlap/>
                      </w:pPr>
                    </w:p>
                  </w:tc>
                  <w:tc>
                    <w:tcPr>
                      <w:tcW w:w="2754" w:type="dxa"/>
                      <w:tcBorders>
                        <w:top w:val="single" w:sz="24" w:space="0" w:color="438086" w:themeColor="accent2"/>
                        <w:bottom w:val="single" w:sz="2" w:space="0" w:color="438086" w:themeColor="accent2"/>
                      </w:tcBorders>
                    </w:tcPr>
                    <w:p w:rsidR="00743995" w:rsidRDefault="00743995">
                      <w:pPr>
                        <w:pStyle w:val="Sinespaciado"/>
                        <w:framePr w:hSpace="187" w:wrap="around" w:hAnchor="text" w:yAlign="bottom"/>
                        <w:suppressOverlap/>
                      </w:pPr>
                    </w:p>
                  </w:tc>
                </w:tr>
                <w:tr w:rsidR="00743995">
                  <w:trPr>
                    <w:trHeight w:hRule="exact" w:val="115"/>
                  </w:trPr>
                  <w:tc>
                    <w:tcPr>
                      <w:tcW w:w="990"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r>
                <w:tr w:rsidR="00743995">
                  <w:trPr>
                    <w:trHeight w:hRule="exact" w:val="58"/>
                  </w:trPr>
                  <w:tc>
                    <w:tcPr>
                      <w:tcW w:w="990" w:type="dxa"/>
                      <w:tcBorders>
                        <w:top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8" w:space="0" w:color="438086" w:themeColor="accent2"/>
                        <w:bottom w:val="single" w:sz="12" w:space="0" w:color="438086" w:themeColor="accent2"/>
                      </w:tcBorders>
                    </w:tcPr>
                    <w:p w:rsidR="00743995" w:rsidRDefault="00743995">
                      <w:pPr>
                        <w:pStyle w:val="Sinespaciado"/>
                        <w:framePr w:hSpace="187" w:wrap="around" w:hAnchor="text" w:yAlign="bottom"/>
                        <w:suppressOverlap/>
                      </w:pPr>
                    </w:p>
                  </w:tc>
                </w:tr>
              </w:tbl>
              <w:p w:rsidR="00743995" w:rsidRDefault="00743995">
                <w:pPr>
                  <w:pStyle w:val="Sinespaciado"/>
                </w:pPr>
              </w:p>
            </w:tc>
            <w:tc>
              <w:tcPr>
                <w:tcW w:w="5473" w:type="dxa"/>
                <w:gridSpan w:val="2"/>
                <w:vAlign w:val="center"/>
              </w:tcPr>
              <w:p w:rsidR="00743995" w:rsidRDefault="00743995">
                <w:pPr>
                  <w:pStyle w:val="Sinespaciado"/>
                </w:pPr>
              </w:p>
            </w:tc>
          </w:tr>
          <w:tr w:rsidR="00743995" w:rsidTr="008876B2">
            <w:trPr>
              <w:trHeight w:val="1800"/>
            </w:trPr>
            <w:tc>
              <w:tcPr>
                <w:tcW w:w="9301" w:type="dxa"/>
                <w:gridSpan w:val="4"/>
                <w:tcMar>
                  <w:top w:w="115" w:type="dxa"/>
                  <w:left w:w="115" w:type="dxa"/>
                  <w:bottom w:w="72" w:type="dxa"/>
                  <w:right w:w="115" w:type="dxa"/>
                </w:tcMar>
                <w:vAlign w:val="center"/>
              </w:tcPr>
              <w:p w:rsidR="00743995" w:rsidRPr="008876B2" w:rsidRDefault="00694E55">
                <w:pPr>
                  <w:pStyle w:val="Sinespaciado"/>
                  <w:rPr>
                    <w:rFonts w:eastAsiaTheme="majorEastAsia" w:cstheme="majorBidi"/>
                    <w:color w:val="53548A" w:themeColor="accent1"/>
                    <w:sz w:val="40"/>
                    <w:szCs w:val="40"/>
                  </w:rPr>
                </w:pPr>
                <w:sdt>
                  <w:sdtPr>
                    <w:rPr>
                      <w:rFonts w:eastAsiaTheme="majorEastAsia"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Content>
                    <w:r w:rsidR="00E924EF">
                      <w:rPr>
                        <w:rFonts w:eastAsiaTheme="majorEastAsia" w:cstheme="majorBidi"/>
                        <w:sz w:val="40"/>
                        <w:szCs w:val="40"/>
                      </w:rPr>
                      <w:t xml:space="preserve">Informe de evaluación sobre </w:t>
                    </w:r>
                    <w:r w:rsidR="005F586A">
                      <w:rPr>
                        <w:rFonts w:eastAsiaTheme="majorEastAsia" w:cstheme="majorBidi"/>
                        <w:sz w:val="40"/>
                        <w:szCs w:val="40"/>
                      </w:rPr>
                      <w:t>el cumplimie</w:t>
                    </w:r>
                    <w:r w:rsidR="002652DB">
                      <w:rPr>
                        <w:rFonts w:eastAsiaTheme="majorEastAsia" w:cstheme="majorBidi"/>
                        <w:sz w:val="40"/>
                        <w:szCs w:val="40"/>
                      </w:rPr>
                      <w:t xml:space="preserve">nto de la LTAIBG por parte de </w:t>
                    </w:r>
                    <w:r w:rsidR="00D83A71">
                      <w:rPr>
                        <w:rFonts w:eastAsiaTheme="majorEastAsia" w:cstheme="majorBidi"/>
                        <w:sz w:val="40"/>
                        <w:szCs w:val="40"/>
                      </w:rPr>
                      <w:t>la</w:t>
                    </w:r>
                    <w:r w:rsidR="00635840">
                      <w:rPr>
                        <w:rFonts w:eastAsiaTheme="majorEastAsia" w:cstheme="majorBidi"/>
                        <w:sz w:val="40"/>
                        <w:szCs w:val="40"/>
                      </w:rPr>
                      <w:t xml:space="preserve">s </w:t>
                    </w:r>
                    <w:r w:rsidR="00D83A71">
                      <w:rPr>
                        <w:rFonts w:eastAsiaTheme="majorEastAsia" w:cstheme="majorBidi"/>
                        <w:sz w:val="40"/>
                        <w:szCs w:val="40"/>
                      </w:rPr>
                      <w:t>Comunidades y Ciudades Autónomas</w:t>
                    </w:r>
                    <w:r w:rsidR="00F07996">
                      <w:rPr>
                        <w:rFonts w:eastAsiaTheme="majorEastAsia" w:cstheme="majorBidi"/>
                        <w:sz w:val="40"/>
                        <w:szCs w:val="40"/>
                      </w:rPr>
                      <w:t>.</w:t>
                    </w:r>
                  </w:sdtContent>
                </w:sdt>
              </w:p>
              <w:p w:rsidR="00743995" w:rsidRPr="008876B2" w:rsidRDefault="00694E55" w:rsidP="00E924EF">
                <w:pPr>
                  <w:pStyle w:val="Sinespaciado"/>
                </w:pPr>
                <w:sdt>
                  <w:sdtPr>
                    <w:rPr>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Content>
                    <w:r w:rsidR="008876B2" w:rsidRPr="008876B2">
                      <w:rPr>
                        <w:i/>
                        <w:iCs/>
                        <w:color w:val="424456" w:themeColor="text2"/>
                        <w:sz w:val="28"/>
                        <w:szCs w:val="28"/>
                      </w:rPr>
                      <w:t>Evaluaci</w:t>
                    </w:r>
                    <w:r w:rsidR="00E924EF">
                      <w:rPr>
                        <w:i/>
                        <w:iCs/>
                        <w:color w:val="424456" w:themeColor="text2"/>
                        <w:sz w:val="28"/>
                        <w:szCs w:val="28"/>
                      </w:rPr>
                      <w:t>ones 2021.CTBG</w:t>
                    </w:r>
                  </w:sdtContent>
                </w:sdt>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tbl>
                <w:tblPr>
                  <w:tblW w:w="5000" w:type="pct"/>
                  <w:tblLook w:val="04A0" w:firstRow="1" w:lastRow="0" w:firstColumn="1" w:lastColumn="0" w:noHBand="0" w:noVBand="1"/>
                </w:tblPr>
                <w:tblGrid>
                  <w:gridCol w:w="1057"/>
                  <w:gridCol w:w="697"/>
                  <w:gridCol w:w="1928"/>
                </w:tblGrid>
                <w:tr w:rsidR="008876B2">
                  <w:trPr>
                    <w:trHeight w:hRule="exact" w:val="72"/>
                  </w:trPr>
                  <w:tc>
                    <w:tcPr>
                      <w:tcW w:w="1098" w:type="dxa"/>
                      <w:tcBorders>
                        <w:top w:val="single" w:sz="24" w:space="0" w:color="438086" w:themeColor="accent2"/>
                      </w:tcBorders>
                    </w:tcPr>
                    <w:p w:rsidR="00743995" w:rsidRDefault="00743995" w:rsidP="00D83A71">
                      <w:pPr>
                        <w:pStyle w:val="Sinespaciado"/>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rsidR="00743995" w:rsidRDefault="00743995" w:rsidP="00D83A71">
                      <w:pPr>
                        <w:pStyle w:val="Sinespaciado"/>
                        <w:framePr w:hSpace="187" w:wrap="around" w:hAnchor="text" w:yAlign="bottom"/>
                        <w:suppressOverlap/>
                        <w:rPr>
                          <w:sz w:val="12"/>
                        </w:rPr>
                      </w:pPr>
                    </w:p>
                  </w:tc>
                </w:tr>
                <w:tr w:rsidR="008876B2">
                  <w:trPr>
                    <w:trHeight w:hRule="exact" w:val="86"/>
                  </w:trPr>
                  <w:tc>
                    <w:tcPr>
                      <w:tcW w:w="1098" w:type="dxa"/>
                    </w:tcPr>
                    <w:p w:rsidR="00743995" w:rsidRDefault="00743995" w:rsidP="00D83A71">
                      <w:pPr>
                        <w:pStyle w:val="Sinespaciado"/>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rsidR="00743995" w:rsidRDefault="00743995" w:rsidP="00D83A71">
                      <w:pPr>
                        <w:pStyle w:val="Sinespaciado"/>
                        <w:framePr w:hSpace="187" w:wrap="around" w:hAnchor="text" w:yAlign="bottom"/>
                        <w:suppressOverlap/>
                        <w:rPr>
                          <w:sz w:val="12"/>
                        </w:rPr>
                      </w:pPr>
                    </w:p>
                  </w:tc>
                </w:tr>
                <w:tr w:rsidR="008876B2">
                  <w:trPr>
                    <w:trHeight w:hRule="exact" w:val="101"/>
                  </w:trPr>
                  <w:tc>
                    <w:tcPr>
                      <w:tcW w:w="1098" w:type="dxa"/>
                      <w:tcBorders>
                        <w:bottom w:val="single" w:sz="2" w:space="0" w:color="438086" w:themeColor="accent2"/>
                      </w:tcBorders>
                    </w:tcPr>
                    <w:p w:rsidR="00743995" w:rsidRDefault="00743995" w:rsidP="00D83A71">
                      <w:pPr>
                        <w:pStyle w:val="Sinespaciado"/>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rsidR="00743995" w:rsidRDefault="00743995" w:rsidP="00D83A71">
                      <w:pPr>
                        <w:pStyle w:val="Sinespaciado"/>
                        <w:framePr w:hSpace="187" w:wrap="around" w:hAnchor="text" w:yAlign="bottom"/>
                        <w:suppressOverlap/>
                        <w:rPr>
                          <w:sz w:val="12"/>
                        </w:rPr>
                      </w:pPr>
                    </w:p>
                  </w:tc>
                </w:tr>
                <w:tr w:rsidR="008876B2">
                  <w:trPr>
                    <w:trHeight w:hRule="exact" w:val="43"/>
                  </w:trPr>
                  <w:tc>
                    <w:tcPr>
                      <w:tcW w:w="1098" w:type="dxa"/>
                      <w:tcBorders>
                        <w:top w:val="single" w:sz="2" w:space="0" w:color="438086" w:themeColor="accent2"/>
                        <w:bottom w:val="single" w:sz="24" w:space="0" w:color="438086" w:themeColor="accent2"/>
                      </w:tcBorders>
                    </w:tcPr>
                    <w:p w:rsidR="00743995" w:rsidRDefault="00743995" w:rsidP="00D83A71">
                      <w:pPr>
                        <w:pStyle w:val="Sinespaciado"/>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top w:val="single" w:sz="2" w:space="0" w:color="438086" w:themeColor="accent2"/>
                      </w:tcBorders>
                    </w:tcPr>
                    <w:p w:rsidR="00743995" w:rsidRDefault="00743995" w:rsidP="00D83A71">
                      <w:pPr>
                        <w:pStyle w:val="Sinespaciado"/>
                        <w:framePr w:hSpace="187" w:wrap="around" w:hAnchor="text" w:yAlign="bottom"/>
                        <w:suppressOverlap/>
                        <w:rPr>
                          <w:sz w:val="12"/>
                        </w:rPr>
                      </w:pPr>
                    </w:p>
                  </w:tc>
                </w:tr>
                <w:tr w:rsidR="008876B2">
                  <w:trPr>
                    <w:trHeight w:hRule="exact" w:val="86"/>
                  </w:trPr>
                  <w:tc>
                    <w:tcPr>
                      <w:tcW w:w="1098" w:type="dxa"/>
                      <w:tcBorders>
                        <w:top w:val="single" w:sz="24" w:space="0" w:color="438086" w:themeColor="accent2"/>
                        <w:bottom w:val="single" w:sz="8" w:space="0" w:color="438086" w:themeColor="accent2"/>
                      </w:tcBorders>
                    </w:tcPr>
                    <w:p w:rsidR="00743995" w:rsidRDefault="00743995" w:rsidP="00D83A71">
                      <w:pPr>
                        <w:pStyle w:val="Sinespaciado"/>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bottom w:val="single" w:sz="8" w:space="0" w:color="438086" w:themeColor="accent2"/>
                      </w:tcBorders>
                    </w:tcPr>
                    <w:p w:rsidR="00743995" w:rsidRDefault="00743995" w:rsidP="00D83A71">
                      <w:pPr>
                        <w:pStyle w:val="Sinespaciado"/>
                        <w:framePr w:hSpace="187" w:wrap="around" w:hAnchor="text" w:yAlign="bottom"/>
                        <w:suppressOverlap/>
                        <w:rPr>
                          <w:sz w:val="12"/>
                        </w:rPr>
                      </w:pPr>
                    </w:p>
                  </w:tc>
                </w:tr>
                <w:tr w:rsidR="008876B2">
                  <w:trPr>
                    <w:trHeight w:hRule="exact" w:val="58"/>
                  </w:trPr>
                  <w:tc>
                    <w:tcPr>
                      <w:tcW w:w="1098" w:type="dxa"/>
                      <w:tcBorders>
                        <w:top w:val="single" w:sz="8" w:space="0" w:color="438086" w:themeColor="accent2"/>
                      </w:tcBorders>
                    </w:tcPr>
                    <w:p w:rsidR="00743995" w:rsidRDefault="00743995" w:rsidP="00D83A71">
                      <w:pPr>
                        <w:pStyle w:val="Sinespaciado"/>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rsidR="00743995" w:rsidRDefault="00743995" w:rsidP="00D83A71">
                      <w:pPr>
                        <w:pStyle w:val="Sinespaciado"/>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rsidR="00743995" w:rsidRDefault="00743995" w:rsidP="00D83A71">
                      <w:pPr>
                        <w:pStyle w:val="Sinespaciado"/>
                        <w:framePr w:hSpace="187" w:wrap="around" w:hAnchor="text" w:yAlign="bottom"/>
                        <w:suppressOverlap/>
                        <w:rPr>
                          <w:sz w:val="12"/>
                        </w:rPr>
                      </w:pPr>
                    </w:p>
                  </w:tc>
                </w:tr>
              </w:tbl>
              <w:p w:rsidR="00743995" w:rsidRDefault="00743995">
                <w:pPr>
                  <w:pStyle w:val="Sinespaciado"/>
                </w:pPr>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p w:rsidR="00743995" w:rsidRPr="008876B2" w:rsidRDefault="00694E55" w:rsidP="00F07996">
                <w:pPr>
                  <w:pStyle w:val="Sinespaciado"/>
                </w:pPr>
                <w:sdt>
                  <w:sdtPr>
                    <w:rPr>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Content>
                    <w:r w:rsidR="001E7F43">
                      <w:rPr>
                        <w:color w:val="424456" w:themeColor="text2"/>
                        <w:szCs w:val="22"/>
                      </w:rPr>
                      <w:t>CTBG. Subdirección General de Transparencia y Buen Gobierno.</w:t>
                    </w:r>
                  </w:sdtContent>
                </w:sdt>
              </w:p>
            </w:tc>
          </w:tr>
        </w:tbl>
        <w:p w:rsidR="00743995" w:rsidRDefault="008876B2">
          <w:pPr>
            <w:pStyle w:val="Ttulo"/>
            <w:rPr>
              <w:rFonts w:eastAsiaTheme="majorEastAsia" w:cstheme="majorBidi"/>
              <w:szCs w:val="20"/>
            </w:rPr>
          </w:pPr>
          <w:r>
            <w:rPr>
              <w:noProof/>
            </w:rPr>
            <w:drawing>
              <wp:inline distT="0" distB="0" distL="0" distR="0" wp14:anchorId="3FE393B9" wp14:editId="18A6FE8B">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EndPr/>
      <w:sdtContent>
        <w:p w:rsidR="00723413" w:rsidRDefault="00723413">
          <w:pPr>
            <w:pStyle w:val="TtulodeTDC"/>
            <w:rPr>
              <w:rFonts w:ascii="Century Gothic" w:eastAsiaTheme="minorHAnsi" w:hAnsi="Century Gothic" w:cstheme="minorBidi"/>
              <w:b w:val="0"/>
              <w:bCs w:val="0"/>
              <w:color w:val="auto"/>
              <w:sz w:val="20"/>
              <w:szCs w:val="20"/>
            </w:rPr>
          </w:pPr>
        </w:p>
        <w:p w:rsidR="00E924EF" w:rsidRDefault="00E924EF">
          <w:pPr>
            <w:pStyle w:val="TtulodeTDC"/>
            <w:rPr>
              <w:sz w:val="20"/>
              <w:szCs w:val="20"/>
            </w:rPr>
          </w:pPr>
          <w:r w:rsidRPr="00723413">
            <w:rPr>
              <w:sz w:val="20"/>
              <w:szCs w:val="20"/>
            </w:rPr>
            <w:t>Contenido</w:t>
          </w:r>
        </w:p>
        <w:p w:rsidR="00723413" w:rsidRPr="00723413" w:rsidRDefault="00723413" w:rsidP="00723413"/>
        <w:p w:rsidR="00574EC6" w:rsidRPr="00574EC6" w:rsidRDefault="00E924EF">
          <w:pPr>
            <w:pStyle w:val="TDC1"/>
            <w:tabs>
              <w:tab w:val="left" w:pos="400"/>
              <w:tab w:val="right" w:pos="9061"/>
            </w:tabs>
            <w:rPr>
              <w:rFonts w:asciiTheme="minorHAnsi" w:hAnsiTheme="minorHAnsi"/>
              <w:noProof/>
              <w:sz w:val="20"/>
              <w:szCs w:val="20"/>
            </w:rPr>
          </w:pPr>
          <w:r w:rsidRPr="00574EC6">
            <w:rPr>
              <w:sz w:val="20"/>
              <w:szCs w:val="20"/>
            </w:rPr>
            <w:fldChar w:fldCharType="begin"/>
          </w:r>
          <w:r w:rsidRPr="00574EC6">
            <w:rPr>
              <w:sz w:val="20"/>
              <w:szCs w:val="20"/>
            </w:rPr>
            <w:instrText xml:space="preserve"> TOC \o "1-3" \h \z \u </w:instrText>
          </w:r>
          <w:r w:rsidRPr="00574EC6">
            <w:rPr>
              <w:sz w:val="20"/>
              <w:szCs w:val="20"/>
            </w:rPr>
            <w:fldChar w:fldCharType="separate"/>
          </w:r>
          <w:hyperlink w:anchor="_Toc92897748" w:history="1">
            <w:r w:rsidR="00574EC6" w:rsidRPr="00574EC6">
              <w:rPr>
                <w:rStyle w:val="Hipervnculo"/>
                <w:noProof/>
                <w:sz w:val="20"/>
                <w:szCs w:val="20"/>
              </w:rPr>
              <w:t>I.</w:t>
            </w:r>
            <w:r w:rsidR="00574EC6" w:rsidRPr="00574EC6">
              <w:rPr>
                <w:rFonts w:asciiTheme="minorHAnsi" w:hAnsiTheme="minorHAnsi"/>
                <w:noProof/>
                <w:sz w:val="20"/>
                <w:szCs w:val="20"/>
              </w:rPr>
              <w:tab/>
            </w:r>
            <w:r w:rsidR="00574EC6" w:rsidRPr="00574EC6">
              <w:rPr>
                <w:rStyle w:val="Hipervnculo"/>
                <w:noProof/>
                <w:sz w:val="20"/>
                <w:szCs w:val="20"/>
              </w:rPr>
              <w:t>Introducción</w:t>
            </w:r>
            <w:r w:rsidR="00574EC6" w:rsidRPr="00574EC6">
              <w:rPr>
                <w:noProof/>
                <w:webHidden/>
                <w:sz w:val="20"/>
                <w:szCs w:val="20"/>
              </w:rPr>
              <w:tab/>
            </w:r>
            <w:r w:rsidR="00574EC6" w:rsidRPr="00574EC6">
              <w:rPr>
                <w:noProof/>
                <w:webHidden/>
                <w:sz w:val="20"/>
                <w:szCs w:val="20"/>
              </w:rPr>
              <w:fldChar w:fldCharType="begin"/>
            </w:r>
            <w:r w:rsidR="00574EC6" w:rsidRPr="00574EC6">
              <w:rPr>
                <w:noProof/>
                <w:webHidden/>
                <w:sz w:val="20"/>
                <w:szCs w:val="20"/>
              </w:rPr>
              <w:instrText xml:space="preserve"> PAGEREF _Toc92897748 \h </w:instrText>
            </w:r>
            <w:r w:rsidR="00574EC6" w:rsidRPr="00574EC6">
              <w:rPr>
                <w:noProof/>
                <w:webHidden/>
                <w:sz w:val="20"/>
                <w:szCs w:val="20"/>
              </w:rPr>
            </w:r>
            <w:r w:rsidR="00574EC6" w:rsidRPr="00574EC6">
              <w:rPr>
                <w:noProof/>
                <w:webHidden/>
                <w:sz w:val="20"/>
                <w:szCs w:val="20"/>
              </w:rPr>
              <w:fldChar w:fldCharType="separate"/>
            </w:r>
            <w:r w:rsidR="00574EC6" w:rsidRPr="00574EC6">
              <w:rPr>
                <w:noProof/>
                <w:webHidden/>
                <w:sz w:val="20"/>
                <w:szCs w:val="20"/>
              </w:rPr>
              <w:t>3</w:t>
            </w:r>
            <w:r w:rsidR="00574EC6" w:rsidRPr="00574EC6">
              <w:rPr>
                <w:noProof/>
                <w:webHidden/>
                <w:sz w:val="20"/>
                <w:szCs w:val="20"/>
              </w:rPr>
              <w:fldChar w:fldCharType="end"/>
            </w:r>
          </w:hyperlink>
        </w:p>
        <w:p w:rsidR="00574EC6" w:rsidRPr="00574EC6" w:rsidRDefault="00574EC6">
          <w:pPr>
            <w:pStyle w:val="TDC1"/>
            <w:tabs>
              <w:tab w:val="right" w:pos="9061"/>
            </w:tabs>
            <w:rPr>
              <w:rFonts w:asciiTheme="minorHAnsi" w:hAnsiTheme="minorHAnsi"/>
              <w:noProof/>
              <w:sz w:val="20"/>
              <w:szCs w:val="20"/>
            </w:rPr>
          </w:pPr>
          <w:hyperlink w:anchor="_Toc92897749" w:history="1">
            <w:r w:rsidRPr="00574EC6">
              <w:rPr>
                <w:rStyle w:val="Hipervnculo"/>
                <w:noProof/>
                <w:sz w:val="20"/>
                <w:szCs w:val="20"/>
              </w:rPr>
              <w:t>II. Alcance de la evaluación.</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_Toc92897749 \h </w:instrText>
            </w:r>
            <w:r w:rsidRPr="00574EC6">
              <w:rPr>
                <w:noProof/>
                <w:webHidden/>
                <w:sz w:val="20"/>
                <w:szCs w:val="20"/>
              </w:rPr>
            </w:r>
            <w:r w:rsidRPr="00574EC6">
              <w:rPr>
                <w:noProof/>
                <w:webHidden/>
                <w:sz w:val="20"/>
                <w:szCs w:val="20"/>
              </w:rPr>
              <w:fldChar w:fldCharType="separate"/>
            </w:r>
            <w:r w:rsidRPr="00574EC6">
              <w:rPr>
                <w:noProof/>
                <w:webHidden/>
                <w:sz w:val="20"/>
                <w:szCs w:val="20"/>
              </w:rPr>
              <w:t>3</w:t>
            </w:r>
            <w:r w:rsidRPr="00574EC6">
              <w:rPr>
                <w:noProof/>
                <w:webHidden/>
                <w:sz w:val="20"/>
                <w:szCs w:val="20"/>
              </w:rPr>
              <w:fldChar w:fldCharType="end"/>
            </w:r>
          </w:hyperlink>
        </w:p>
        <w:p w:rsidR="00574EC6" w:rsidRPr="00574EC6" w:rsidRDefault="00574EC6">
          <w:pPr>
            <w:pStyle w:val="TDC2"/>
            <w:tabs>
              <w:tab w:val="right" w:pos="9061"/>
            </w:tabs>
            <w:rPr>
              <w:rFonts w:asciiTheme="minorHAnsi" w:hAnsiTheme="minorHAnsi"/>
              <w:noProof/>
              <w:sz w:val="20"/>
              <w:szCs w:val="20"/>
            </w:rPr>
          </w:pPr>
          <w:hyperlink w:anchor="_Toc92897750" w:history="1">
            <w:r w:rsidRPr="00574EC6">
              <w:rPr>
                <w:rStyle w:val="Hipervnculo"/>
                <w:noProof/>
                <w:sz w:val="20"/>
                <w:szCs w:val="20"/>
              </w:rPr>
              <w:t>II.1 Entidades incluidas en este grupo de sujetos obligados.</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_Toc92897750 \h </w:instrText>
            </w:r>
            <w:r w:rsidRPr="00574EC6">
              <w:rPr>
                <w:noProof/>
                <w:webHidden/>
                <w:sz w:val="20"/>
                <w:szCs w:val="20"/>
              </w:rPr>
            </w:r>
            <w:r w:rsidRPr="00574EC6">
              <w:rPr>
                <w:noProof/>
                <w:webHidden/>
                <w:sz w:val="20"/>
                <w:szCs w:val="20"/>
              </w:rPr>
              <w:fldChar w:fldCharType="separate"/>
            </w:r>
            <w:r w:rsidRPr="00574EC6">
              <w:rPr>
                <w:noProof/>
                <w:webHidden/>
                <w:sz w:val="20"/>
                <w:szCs w:val="20"/>
              </w:rPr>
              <w:t>3</w:t>
            </w:r>
            <w:r w:rsidRPr="00574EC6">
              <w:rPr>
                <w:noProof/>
                <w:webHidden/>
                <w:sz w:val="20"/>
                <w:szCs w:val="20"/>
              </w:rPr>
              <w:fldChar w:fldCharType="end"/>
            </w:r>
          </w:hyperlink>
        </w:p>
        <w:p w:rsidR="00574EC6" w:rsidRPr="00574EC6" w:rsidRDefault="00574EC6">
          <w:pPr>
            <w:pStyle w:val="TDC2"/>
            <w:tabs>
              <w:tab w:val="right" w:pos="9061"/>
            </w:tabs>
            <w:rPr>
              <w:rFonts w:asciiTheme="minorHAnsi" w:hAnsiTheme="minorHAnsi"/>
              <w:noProof/>
              <w:sz w:val="20"/>
              <w:szCs w:val="20"/>
            </w:rPr>
          </w:pPr>
          <w:hyperlink w:anchor="_Toc92897751" w:history="1">
            <w:r w:rsidRPr="00574EC6">
              <w:rPr>
                <w:rStyle w:val="Hipervnculo"/>
                <w:noProof/>
                <w:sz w:val="20"/>
                <w:szCs w:val="20"/>
              </w:rPr>
              <w:t>II.2 Delimitación de las obligaciones de publicidad activa aplicables.</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_Toc92897751 \h </w:instrText>
            </w:r>
            <w:r w:rsidRPr="00574EC6">
              <w:rPr>
                <w:noProof/>
                <w:webHidden/>
                <w:sz w:val="20"/>
                <w:szCs w:val="20"/>
              </w:rPr>
            </w:r>
            <w:r w:rsidRPr="00574EC6">
              <w:rPr>
                <w:noProof/>
                <w:webHidden/>
                <w:sz w:val="20"/>
                <w:szCs w:val="20"/>
              </w:rPr>
              <w:fldChar w:fldCharType="separate"/>
            </w:r>
            <w:r w:rsidRPr="00574EC6">
              <w:rPr>
                <w:noProof/>
                <w:webHidden/>
                <w:sz w:val="20"/>
                <w:szCs w:val="20"/>
              </w:rPr>
              <w:t>3</w:t>
            </w:r>
            <w:r w:rsidRPr="00574EC6">
              <w:rPr>
                <w:noProof/>
                <w:webHidden/>
                <w:sz w:val="20"/>
                <w:szCs w:val="20"/>
              </w:rPr>
              <w:fldChar w:fldCharType="end"/>
            </w:r>
          </w:hyperlink>
        </w:p>
        <w:p w:rsidR="00574EC6" w:rsidRPr="00574EC6" w:rsidRDefault="00574EC6">
          <w:pPr>
            <w:pStyle w:val="TDC1"/>
            <w:tabs>
              <w:tab w:val="right" w:pos="9061"/>
            </w:tabs>
            <w:rPr>
              <w:rFonts w:asciiTheme="minorHAnsi" w:hAnsiTheme="minorHAnsi"/>
              <w:noProof/>
              <w:sz w:val="20"/>
              <w:szCs w:val="20"/>
            </w:rPr>
          </w:pPr>
          <w:hyperlink w:anchor="_Toc92897752" w:history="1">
            <w:r w:rsidRPr="00574EC6">
              <w:rPr>
                <w:rStyle w:val="Hipervnculo"/>
                <w:noProof/>
                <w:sz w:val="20"/>
                <w:szCs w:val="20"/>
              </w:rPr>
              <w:t>III. Evaluación del cumplimiento de las obligaciones de publicidad activa</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_Toc92897752 \h </w:instrText>
            </w:r>
            <w:r w:rsidRPr="00574EC6">
              <w:rPr>
                <w:noProof/>
                <w:webHidden/>
                <w:sz w:val="20"/>
                <w:szCs w:val="20"/>
              </w:rPr>
            </w:r>
            <w:r w:rsidRPr="00574EC6">
              <w:rPr>
                <w:noProof/>
                <w:webHidden/>
                <w:sz w:val="20"/>
                <w:szCs w:val="20"/>
              </w:rPr>
              <w:fldChar w:fldCharType="separate"/>
            </w:r>
            <w:r w:rsidRPr="00574EC6">
              <w:rPr>
                <w:noProof/>
                <w:webHidden/>
                <w:sz w:val="20"/>
                <w:szCs w:val="20"/>
              </w:rPr>
              <w:t>5</w:t>
            </w:r>
            <w:r w:rsidRPr="00574EC6">
              <w:rPr>
                <w:noProof/>
                <w:webHidden/>
                <w:sz w:val="20"/>
                <w:szCs w:val="20"/>
              </w:rPr>
              <w:fldChar w:fldCharType="end"/>
            </w:r>
          </w:hyperlink>
        </w:p>
        <w:p w:rsidR="00574EC6" w:rsidRPr="00574EC6" w:rsidRDefault="00574EC6">
          <w:pPr>
            <w:pStyle w:val="TDC2"/>
            <w:tabs>
              <w:tab w:val="right" w:pos="9061"/>
            </w:tabs>
            <w:rPr>
              <w:rFonts w:asciiTheme="minorHAnsi" w:hAnsiTheme="minorHAnsi"/>
              <w:noProof/>
              <w:sz w:val="20"/>
              <w:szCs w:val="20"/>
            </w:rPr>
          </w:pPr>
          <w:hyperlink w:anchor="_Toc92897753" w:history="1">
            <w:r w:rsidRPr="00574EC6">
              <w:rPr>
                <w:rStyle w:val="Hipervnculo"/>
                <w:noProof/>
                <w:sz w:val="20"/>
                <w:szCs w:val="20"/>
              </w:rPr>
              <w:t>III.1 Aplicación de las recomendaciones derivadas de la evaluación 2020.</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_Toc92897753 \h </w:instrText>
            </w:r>
            <w:r w:rsidRPr="00574EC6">
              <w:rPr>
                <w:noProof/>
                <w:webHidden/>
                <w:sz w:val="20"/>
                <w:szCs w:val="20"/>
              </w:rPr>
            </w:r>
            <w:r w:rsidRPr="00574EC6">
              <w:rPr>
                <w:noProof/>
                <w:webHidden/>
                <w:sz w:val="20"/>
                <w:szCs w:val="20"/>
              </w:rPr>
              <w:fldChar w:fldCharType="separate"/>
            </w:r>
            <w:r w:rsidRPr="00574EC6">
              <w:rPr>
                <w:noProof/>
                <w:webHidden/>
                <w:sz w:val="20"/>
                <w:szCs w:val="20"/>
              </w:rPr>
              <w:t>5</w:t>
            </w:r>
            <w:r w:rsidRPr="00574EC6">
              <w:rPr>
                <w:noProof/>
                <w:webHidden/>
                <w:sz w:val="20"/>
                <w:szCs w:val="20"/>
              </w:rPr>
              <w:fldChar w:fldCharType="end"/>
            </w:r>
          </w:hyperlink>
        </w:p>
        <w:p w:rsidR="00574EC6" w:rsidRPr="00574EC6" w:rsidRDefault="00574EC6">
          <w:pPr>
            <w:pStyle w:val="TDC2"/>
            <w:tabs>
              <w:tab w:val="right" w:pos="9061"/>
            </w:tabs>
            <w:rPr>
              <w:rFonts w:asciiTheme="minorHAnsi" w:hAnsiTheme="minorHAnsi"/>
              <w:noProof/>
              <w:sz w:val="20"/>
              <w:szCs w:val="20"/>
            </w:rPr>
          </w:pPr>
          <w:hyperlink w:anchor="_Toc92897755" w:history="1">
            <w:r w:rsidRPr="00574EC6">
              <w:rPr>
                <w:rStyle w:val="Hipervnculo"/>
                <w:noProof/>
                <w:sz w:val="20"/>
                <w:szCs w:val="20"/>
              </w:rPr>
              <w:t>III.2 Localización y estructuración de la información</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_Toc92897755 \h </w:instrText>
            </w:r>
            <w:r w:rsidRPr="00574EC6">
              <w:rPr>
                <w:noProof/>
                <w:webHidden/>
                <w:sz w:val="20"/>
                <w:szCs w:val="20"/>
              </w:rPr>
            </w:r>
            <w:r w:rsidRPr="00574EC6">
              <w:rPr>
                <w:noProof/>
                <w:webHidden/>
                <w:sz w:val="20"/>
                <w:szCs w:val="20"/>
              </w:rPr>
              <w:fldChar w:fldCharType="separate"/>
            </w:r>
            <w:r w:rsidRPr="00574EC6">
              <w:rPr>
                <w:noProof/>
                <w:webHidden/>
                <w:sz w:val="20"/>
                <w:szCs w:val="20"/>
              </w:rPr>
              <w:t>6</w:t>
            </w:r>
            <w:r w:rsidRPr="00574EC6">
              <w:rPr>
                <w:noProof/>
                <w:webHidden/>
                <w:sz w:val="20"/>
                <w:szCs w:val="20"/>
              </w:rPr>
              <w:fldChar w:fldCharType="end"/>
            </w:r>
          </w:hyperlink>
        </w:p>
        <w:p w:rsidR="00574EC6" w:rsidRPr="00574EC6" w:rsidRDefault="00574EC6">
          <w:pPr>
            <w:pStyle w:val="TDC2"/>
            <w:tabs>
              <w:tab w:val="right" w:pos="9061"/>
            </w:tabs>
            <w:rPr>
              <w:rFonts w:asciiTheme="minorHAnsi" w:hAnsiTheme="minorHAnsi"/>
              <w:noProof/>
              <w:sz w:val="20"/>
              <w:szCs w:val="20"/>
            </w:rPr>
          </w:pPr>
          <w:hyperlink w:anchor="_Toc92897756" w:history="1">
            <w:r w:rsidRPr="00574EC6">
              <w:rPr>
                <w:rStyle w:val="Hipervnculo"/>
                <w:noProof/>
                <w:sz w:val="20"/>
                <w:szCs w:val="20"/>
              </w:rPr>
              <w:t>III.3. Cumplimiento de las obligaciones de publicidad activa</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_Toc92897756 \h </w:instrText>
            </w:r>
            <w:r w:rsidRPr="00574EC6">
              <w:rPr>
                <w:noProof/>
                <w:webHidden/>
                <w:sz w:val="20"/>
                <w:szCs w:val="20"/>
              </w:rPr>
            </w:r>
            <w:r w:rsidRPr="00574EC6">
              <w:rPr>
                <w:noProof/>
                <w:webHidden/>
                <w:sz w:val="20"/>
                <w:szCs w:val="20"/>
              </w:rPr>
              <w:fldChar w:fldCharType="separate"/>
            </w:r>
            <w:r w:rsidRPr="00574EC6">
              <w:rPr>
                <w:noProof/>
                <w:webHidden/>
                <w:sz w:val="20"/>
                <w:szCs w:val="20"/>
              </w:rPr>
              <w:t>6</w:t>
            </w:r>
            <w:r w:rsidRPr="00574EC6">
              <w:rPr>
                <w:noProof/>
                <w:webHidden/>
                <w:sz w:val="20"/>
                <w:szCs w:val="20"/>
              </w:rPr>
              <w:fldChar w:fldCharType="end"/>
            </w:r>
          </w:hyperlink>
        </w:p>
        <w:p w:rsidR="00574EC6" w:rsidRPr="00574EC6" w:rsidRDefault="00574EC6">
          <w:pPr>
            <w:pStyle w:val="TDC3"/>
            <w:tabs>
              <w:tab w:val="right" w:pos="9061"/>
            </w:tabs>
            <w:rPr>
              <w:rFonts w:asciiTheme="minorHAnsi" w:eastAsiaTheme="minorEastAsia" w:hAnsiTheme="minorHAnsi"/>
              <w:noProof/>
              <w:sz w:val="20"/>
            </w:rPr>
          </w:pPr>
          <w:hyperlink w:anchor="_Toc92897757" w:history="1">
            <w:r w:rsidRPr="00574EC6">
              <w:rPr>
                <w:rStyle w:val="Hipervnculo"/>
                <w:noProof/>
                <w:sz w:val="20"/>
              </w:rPr>
              <w:t>III.3.1.  Información Institucional y Organizativa.</w:t>
            </w:r>
            <w:r w:rsidRPr="00574EC6">
              <w:rPr>
                <w:noProof/>
                <w:webHidden/>
                <w:sz w:val="20"/>
              </w:rPr>
              <w:tab/>
            </w:r>
            <w:r w:rsidRPr="00574EC6">
              <w:rPr>
                <w:noProof/>
                <w:webHidden/>
                <w:sz w:val="20"/>
              </w:rPr>
              <w:fldChar w:fldCharType="begin"/>
            </w:r>
            <w:r w:rsidRPr="00574EC6">
              <w:rPr>
                <w:noProof/>
                <w:webHidden/>
                <w:sz w:val="20"/>
              </w:rPr>
              <w:instrText xml:space="preserve"> PAGEREF _Toc92897757 \h </w:instrText>
            </w:r>
            <w:r w:rsidRPr="00574EC6">
              <w:rPr>
                <w:noProof/>
                <w:webHidden/>
                <w:sz w:val="20"/>
              </w:rPr>
            </w:r>
            <w:r w:rsidRPr="00574EC6">
              <w:rPr>
                <w:noProof/>
                <w:webHidden/>
                <w:sz w:val="20"/>
              </w:rPr>
              <w:fldChar w:fldCharType="separate"/>
            </w:r>
            <w:r w:rsidRPr="00574EC6">
              <w:rPr>
                <w:noProof/>
                <w:webHidden/>
                <w:sz w:val="20"/>
              </w:rPr>
              <w:t>6</w:t>
            </w:r>
            <w:r w:rsidRPr="00574EC6">
              <w:rPr>
                <w:noProof/>
                <w:webHidden/>
                <w:sz w:val="20"/>
              </w:rPr>
              <w:fldChar w:fldCharType="end"/>
            </w:r>
          </w:hyperlink>
        </w:p>
        <w:p w:rsidR="00574EC6" w:rsidRPr="00574EC6" w:rsidRDefault="00574EC6">
          <w:pPr>
            <w:pStyle w:val="TDC3"/>
            <w:tabs>
              <w:tab w:val="right" w:pos="9061"/>
            </w:tabs>
            <w:rPr>
              <w:rFonts w:asciiTheme="minorHAnsi" w:eastAsiaTheme="minorEastAsia" w:hAnsiTheme="minorHAnsi"/>
              <w:noProof/>
              <w:sz w:val="20"/>
            </w:rPr>
          </w:pPr>
          <w:hyperlink w:anchor="_Toc92897758" w:history="1">
            <w:r w:rsidRPr="00574EC6">
              <w:rPr>
                <w:rStyle w:val="Hipervnculo"/>
                <w:noProof/>
                <w:sz w:val="20"/>
              </w:rPr>
              <w:t>III.3.2. Información de Relevancia Jurídica</w:t>
            </w:r>
            <w:r w:rsidRPr="00574EC6">
              <w:rPr>
                <w:noProof/>
                <w:webHidden/>
                <w:sz w:val="20"/>
              </w:rPr>
              <w:tab/>
            </w:r>
            <w:r w:rsidRPr="00574EC6">
              <w:rPr>
                <w:noProof/>
                <w:webHidden/>
                <w:sz w:val="20"/>
              </w:rPr>
              <w:fldChar w:fldCharType="begin"/>
            </w:r>
            <w:r w:rsidRPr="00574EC6">
              <w:rPr>
                <w:noProof/>
                <w:webHidden/>
                <w:sz w:val="20"/>
              </w:rPr>
              <w:instrText xml:space="preserve"> PAGEREF _Toc92897758 \h </w:instrText>
            </w:r>
            <w:r w:rsidRPr="00574EC6">
              <w:rPr>
                <w:noProof/>
                <w:webHidden/>
                <w:sz w:val="20"/>
              </w:rPr>
            </w:r>
            <w:r w:rsidRPr="00574EC6">
              <w:rPr>
                <w:noProof/>
                <w:webHidden/>
                <w:sz w:val="20"/>
              </w:rPr>
              <w:fldChar w:fldCharType="separate"/>
            </w:r>
            <w:r w:rsidRPr="00574EC6">
              <w:rPr>
                <w:noProof/>
                <w:webHidden/>
                <w:sz w:val="20"/>
              </w:rPr>
              <w:t>7</w:t>
            </w:r>
            <w:r w:rsidRPr="00574EC6">
              <w:rPr>
                <w:noProof/>
                <w:webHidden/>
                <w:sz w:val="20"/>
              </w:rPr>
              <w:fldChar w:fldCharType="end"/>
            </w:r>
          </w:hyperlink>
        </w:p>
        <w:p w:rsidR="00574EC6" w:rsidRPr="00574EC6" w:rsidRDefault="00574EC6">
          <w:pPr>
            <w:pStyle w:val="TDC3"/>
            <w:tabs>
              <w:tab w:val="right" w:pos="9061"/>
            </w:tabs>
            <w:rPr>
              <w:rFonts w:asciiTheme="minorHAnsi" w:eastAsiaTheme="minorEastAsia" w:hAnsiTheme="minorHAnsi"/>
              <w:noProof/>
              <w:sz w:val="20"/>
            </w:rPr>
          </w:pPr>
          <w:hyperlink w:anchor="_Toc92897760" w:history="1">
            <w:r w:rsidRPr="00574EC6">
              <w:rPr>
                <w:rStyle w:val="Hipervnculo"/>
                <w:noProof/>
                <w:sz w:val="20"/>
              </w:rPr>
              <w:t>III.3.3.  Información Económica, Presupuestaria y Estadística</w:t>
            </w:r>
            <w:r w:rsidRPr="00574EC6">
              <w:rPr>
                <w:noProof/>
                <w:webHidden/>
                <w:sz w:val="20"/>
              </w:rPr>
              <w:tab/>
            </w:r>
            <w:r w:rsidRPr="00574EC6">
              <w:rPr>
                <w:noProof/>
                <w:webHidden/>
                <w:sz w:val="20"/>
              </w:rPr>
              <w:fldChar w:fldCharType="begin"/>
            </w:r>
            <w:r w:rsidRPr="00574EC6">
              <w:rPr>
                <w:noProof/>
                <w:webHidden/>
                <w:sz w:val="20"/>
              </w:rPr>
              <w:instrText xml:space="preserve"> PAGEREF _Toc92897760 \h </w:instrText>
            </w:r>
            <w:r w:rsidRPr="00574EC6">
              <w:rPr>
                <w:noProof/>
                <w:webHidden/>
                <w:sz w:val="20"/>
              </w:rPr>
            </w:r>
            <w:r w:rsidRPr="00574EC6">
              <w:rPr>
                <w:noProof/>
                <w:webHidden/>
                <w:sz w:val="20"/>
              </w:rPr>
              <w:fldChar w:fldCharType="separate"/>
            </w:r>
            <w:r w:rsidRPr="00574EC6">
              <w:rPr>
                <w:noProof/>
                <w:webHidden/>
                <w:sz w:val="20"/>
              </w:rPr>
              <w:t>8</w:t>
            </w:r>
            <w:r w:rsidRPr="00574EC6">
              <w:rPr>
                <w:noProof/>
                <w:webHidden/>
                <w:sz w:val="20"/>
              </w:rPr>
              <w:fldChar w:fldCharType="end"/>
            </w:r>
          </w:hyperlink>
        </w:p>
        <w:p w:rsidR="00574EC6" w:rsidRPr="00574EC6" w:rsidRDefault="00574EC6">
          <w:pPr>
            <w:pStyle w:val="TDC3"/>
            <w:tabs>
              <w:tab w:val="right" w:pos="9061"/>
            </w:tabs>
            <w:rPr>
              <w:rFonts w:asciiTheme="minorHAnsi" w:eastAsiaTheme="minorEastAsia" w:hAnsiTheme="minorHAnsi"/>
              <w:noProof/>
              <w:sz w:val="20"/>
            </w:rPr>
          </w:pPr>
          <w:hyperlink w:anchor="_Toc92897761" w:history="1">
            <w:r w:rsidRPr="00574EC6">
              <w:rPr>
                <w:rStyle w:val="Hipervnculo"/>
                <w:noProof/>
                <w:sz w:val="20"/>
              </w:rPr>
              <w:t>III.3.4. Información Patrimonial.</w:t>
            </w:r>
            <w:r w:rsidRPr="00574EC6">
              <w:rPr>
                <w:noProof/>
                <w:webHidden/>
                <w:sz w:val="20"/>
              </w:rPr>
              <w:tab/>
            </w:r>
            <w:r w:rsidRPr="00574EC6">
              <w:rPr>
                <w:noProof/>
                <w:webHidden/>
                <w:sz w:val="20"/>
              </w:rPr>
              <w:fldChar w:fldCharType="begin"/>
            </w:r>
            <w:r w:rsidRPr="00574EC6">
              <w:rPr>
                <w:noProof/>
                <w:webHidden/>
                <w:sz w:val="20"/>
              </w:rPr>
              <w:instrText xml:space="preserve"> PAGEREF _Toc92897761 \h </w:instrText>
            </w:r>
            <w:r w:rsidRPr="00574EC6">
              <w:rPr>
                <w:noProof/>
                <w:webHidden/>
                <w:sz w:val="20"/>
              </w:rPr>
            </w:r>
            <w:r w:rsidRPr="00574EC6">
              <w:rPr>
                <w:noProof/>
                <w:webHidden/>
                <w:sz w:val="20"/>
              </w:rPr>
              <w:fldChar w:fldCharType="separate"/>
            </w:r>
            <w:r w:rsidRPr="00574EC6">
              <w:rPr>
                <w:noProof/>
                <w:webHidden/>
                <w:sz w:val="20"/>
              </w:rPr>
              <w:t>9</w:t>
            </w:r>
            <w:r w:rsidRPr="00574EC6">
              <w:rPr>
                <w:noProof/>
                <w:webHidden/>
                <w:sz w:val="20"/>
              </w:rPr>
              <w:fldChar w:fldCharType="end"/>
            </w:r>
          </w:hyperlink>
        </w:p>
        <w:p w:rsidR="00574EC6" w:rsidRPr="00574EC6" w:rsidRDefault="00574EC6">
          <w:pPr>
            <w:pStyle w:val="TDC3"/>
            <w:tabs>
              <w:tab w:val="right" w:pos="9061"/>
            </w:tabs>
            <w:rPr>
              <w:rFonts w:asciiTheme="minorHAnsi" w:eastAsiaTheme="minorEastAsia" w:hAnsiTheme="minorHAnsi"/>
              <w:noProof/>
              <w:sz w:val="20"/>
            </w:rPr>
          </w:pPr>
          <w:hyperlink w:anchor="_Toc92897762" w:history="1">
            <w:r w:rsidRPr="00574EC6">
              <w:rPr>
                <w:rStyle w:val="Hipervnculo"/>
                <w:noProof/>
                <w:sz w:val="20"/>
              </w:rPr>
              <w:t>III.3.5. Índice de Cumplimiento de la Información Obligatoria (ICIO)</w:t>
            </w:r>
            <w:r w:rsidRPr="00574EC6">
              <w:rPr>
                <w:noProof/>
                <w:webHidden/>
                <w:sz w:val="20"/>
              </w:rPr>
              <w:tab/>
            </w:r>
            <w:r w:rsidRPr="00574EC6">
              <w:rPr>
                <w:noProof/>
                <w:webHidden/>
                <w:sz w:val="20"/>
              </w:rPr>
              <w:fldChar w:fldCharType="begin"/>
            </w:r>
            <w:r w:rsidRPr="00574EC6">
              <w:rPr>
                <w:noProof/>
                <w:webHidden/>
                <w:sz w:val="20"/>
              </w:rPr>
              <w:instrText xml:space="preserve"> PAGEREF _Toc92897762 \h </w:instrText>
            </w:r>
            <w:r w:rsidRPr="00574EC6">
              <w:rPr>
                <w:noProof/>
                <w:webHidden/>
                <w:sz w:val="20"/>
              </w:rPr>
            </w:r>
            <w:r w:rsidRPr="00574EC6">
              <w:rPr>
                <w:noProof/>
                <w:webHidden/>
                <w:sz w:val="20"/>
              </w:rPr>
              <w:fldChar w:fldCharType="separate"/>
            </w:r>
            <w:r w:rsidRPr="00574EC6">
              <w:rPr>
                <w:noProof/>
                <w:webHidden/>
                <w:sz w:val="20"/>
              </w:rPr>
              <w:t>10</w:t>
            </w:r>
            <w:r w:rsidRPr="00574EC6">
              <w:rPr>
                <w:noProof/>
                <w:webHidden/>
                <w:sz w:val="20"/>
              </w:rPr>
              <w:fldChar w:fldCharType="end"/>
            </w:r>
          </w:hyperlink>
        </w:p>
        <w:p w:rsidR="00574EC6" w:rsidRPr="00574EC6" w:rsidRDefault="00574EC6">
          <w:pPr>
            <w:pStyle w:val="TDC1"/>
            <w:tabs>
              <w:tab w:val="left" w:pos="660"/>
              <w:tab w:val="right" w:pos="9061"/>
            </w:tabs>
            <w:rPr>
              <w:rFonts w:asciiTheme="minorHAnsi" w:hAnsiTheme="minorHAnsi"/>
              <w:noProof/>
              <w:sz w:val="20"/>
              <w:szCs w:val="20"/>
            </w:rPr>
          </w:pPr>
          <w:hyperlink w:anchor="_Toc92897764" w:history="1">
            <w:r w:rsidRPr="00574EC6">
              <w:rPr>
                <w:rStyle w:val="Hipervnculo"/>
                <w:noProof/>
                <w:sz w:val="20"/>
                <w:szCs w:val="20"/>
              </w:rPr>
              <w:t>IV.</w:t>
            </w:r>
            <w:r w:rsidRPr="00574EC6">
              <w:rPr>
                <w:rFonts w:asciiTheme="minorHAnsi" w:hAnsiTheme="minorHAnsi"/>
                <w:noProof/>
                <w:sz w:val="20"/>
                <w:szCs w:val="20"/>
              </w:rPr>
              <w:tab/>
            </w:r>
            <w:r w:rsidRPr="00574EC6">
              <w:rPr>
                <w:rStyle w:val="Hipervnculo"/>
                <w:noProof/>
                <w:sz w:val="20"/>
                <w:szCs w:val="20"/>
              </w:rPr>
              <w:t>Conclusiones y Recomendaciones</w:t>
            </w:r>
            <w:r w:rsidRPr="00574EC6">
              <w:rPr>
                <w:noProof/>
                <w:webHidden/>
                <w:sz w:val="20"/>
                <w:szCs w:val="20"/>
              </w:rPr>
              <w:tab/>
            </w:r>
            <w:r w:rsidRPr="00574EC6">
              <w:rPr>
                <w:noProof/>
                <w:webHidden/>
                <w:sz w:val="20"/>
                <w:szCs w:val="20"/>
              </w:rPr>
              <w:fldChar w:fldCharType="begin"/>
            </w:r>
            <w:r w:rsidRPr="00574EC6">
              <w:rPr>
                <w:noProof/>
                <w:webHidden/>
                <w:sz w:val="20"/>
                <w:szCs w:val="20"/>
              </w:rPr>
              <w:instrText xml:space="preserve"> PAGEREF _Toc92897764 \h </w:instrText>
            </w:r>
            <w:r w:rsidRPr="00574EC6">
              <w:rPr>
                <w:noProof/>
                <w:webHidden/>
                <w:sz w:val="20"/>
                <w:szCs w:val="20"/>
              </w:rPr>
            </w:r>
            <w:r w:rsidRPr="00574EC6">
              <w:rPr>
                <w:noProof/>
                <w:webHidden/>
                <w:sz w:val="20"/>
                <w:szCs w:val="20"/>
              </w:rPr>
              <w:fldChar w:fldCharType="separate"/>
            </w:r>
            <w:r w:rsidRPr="00574EC6">
              <w:rPr>
                <w:noProof/>
                <w:webHidden/>
                <w:sz w:val="20"/>
                <w:szCs w:val="20"/>
              </w:rPr>
              <w:t>11</w:t>
            </w:r>
            <w:r w:rsidRPr="00574EC6">
              <w:rPr>
                <w:noProof/>
                <w:webHidden/>
                <w:sz w:val="20"/>
                <w:szCs w:val="20"/>
              </w:rPr>
              <w:fldChar w:fldCharType="end"/>
            </w:r>
          </w:hyperlink>
        </w:p>
        <w:p w:rsidR="00E924EF" w:rsidRPr="00574EC6" w:rsidRDefault="00E924EF">
          <w:pPr>
            <w:rPr>
              <w:sz w:val="20"/>
            </w:rPr>
          </w:pPr>
          <w:r w:rsidRPr="00574EC6">
            <w:rPr>
              <w:b/>
              <w:bCs/>
              <w:sz w:val="20"/>
            </w:rPr>
            <w:fldChar w:fldCharType="end"/>
          </w:r>
        </w:p>
      </w:sdtContent>
    </w:sdt>
    <w:p w:rsidR="00743995" w:rsidRDefault="00E924EF" w:rsidP="0026153E">
      <w:pPr>
        <w:pStyle w:val="Ttulo1"/>
        <w:numPr>
          <w:ilvl w:val="0"/>
          <w:numId w:val="48"/>
        </w:numPr>
      </w:pPr>
      <w:r w:rsidRPr="00E719EF">
        <w:rPr>
          <w:sz w:val="18"/>
          <w:szCs w:val="18"/>
        </w:rPr>
        <w:br w:type="page"/>
      </w:r>
      <w:bookmarkStart w:id="0" w:name="_Toc92897748"/>
      <w:r w:rsidR="005F586A">
        <w:lastRenderedPageBreak/>
        <w:t>Introducción</w:t>
      </w:r>
      <w:bookmarkEnd w:id="0"/>
    </w:p>
    <w:p w:rsidR="00743995" w:rsidRDefault="00743995"/>
    <w:p w:rsidR="00341355" w:rsidRDefault="00341355" w:rsidP="00341355">
      <w:r>
        <w:t xml:space="preserve">El presente informe recoge los resultados agregados de la </w:t>
      </w:r>
      <w:r w:rsidR="00694E55">
        <w:t>revisión</w:t>
      </w:r>
      <w:r>
        <w:t xml:space="preserve"> del cumplimiento de las obligaciones de publicidad activa correspondientes </w:t>
      </w:r>
      <w:r w:rsidR="00635840">
        <w:t xml:space="preserve">a </w:t>
      </w:r>
      <w:r w:rsidR="00694E55">
        <w:t xml:space="preserve">las Comunidades Autónomas que fueron evaluadas en el año 2020. </w:t>
      </w:r>
    </w:p>
    <w:p w:rsidR="00341355" w:rsidRDefault="00341355" w:rsidP="00D74601">
      <w:r>
        <w:t xml:space="preserve">Para la evaluación del cumplimiento de las obligaciones de publicidad activa se ha aplicado la metodología MESTA desarrollada conjuntamente por el CTBG y la extinguida AEVAL. Se ha analizado el grado de publicación de contenidos obligatorios así como el cumplimiento de los criterios en cuanto a la forma de publicación y de los atributos de calidad aplicables a la información publicada que establece la LTAIBG. </w:t>
      </w:r>
    </w:p>
    <w:p w:rsidR="005F586A" w:rsidRDefault="00694E55">
      <w:r>
        <w:t>L</w:t>
      </w:r>
      <w:r w:rsidR="00341355">
        <w:t xml:space="preserve">a evaluación del cumplimiento de las obligaciones de publicidad activa </w:t>
      </w:r>
      <w:r>
        <w:t>s</w:t>
      </w:r>
      <w:r w:rsidR="00341355">
        <w:t>e ha realizado con recursos propios del CTBG.</w:t>
      </w:r>
    </w:p>
    <w:p w:rsidR="0047212C" w:rsidRDefault="00077CDF" w:rsidP="00077CDF">
      <w:pPr>
        <w:pStyle w:val="Ttulo1"/>
      </w:pPr>
      <w:bookmarkStart w:id="1" w:name="_Toc92897749"/>
      <w:r>
        <w:t>I</w:t>
      </w:r>
      <w:r w:rsidR="0047212C">
        <w:t>I</w:t>
      </w:r>
      <w:r>
        <w:t>.</w:t>
      </w:r>
      <w:r w:rsidR="0047212C">
        <w:t xml:space="preserve"> Alcance de la evaluación.</w:t>
      </w:r>
      <w:bookmarkEnd w:id="1"/>
      <w:r w:rsidR="0047212C">
        <w:t xml:space="preserve"> </w:t>
      </w:r>
    </w:p>
    <w:p w:rsidR="00CE43A8" w:rsidRPr="00CE43A8" w:rsidRDefault="00CE43A8" w:rsidP="00CE43A8"/>
    <w:p w:rsidR="005F586A" w:rsidRDefault="005A1B1B" w:rsidP="00077CDF">
      <w:pPr>
        <w:pStyle w:val="Ttulo2"/>
      </w:pPr>
      <w:bookmarkStart w:id="2" w:name="_Toc92897750"/>
      <w:r w:rsidRPr="005A1B1B">
        <w:t>II.1 Entidades incluidas en este grupo de sujetos obligados</w:t>
      </w:r>
      <w:r w:rsidR="00BE7255">
        <w:t>.</w:t>
      </w:r>
      <w:bookmarkEnd w:id="2"/>
    </w:p>
    <w:p w:rsidR="00077CDF" w:rsidRDefault="00077CDF" w:rsidP="005F586A"/>
    <w:p w:rsidR="003A47B5" w:rsidRDefault="00694E55" w:rsidP="00635840">
      <w:r>
        <w:t xml:space="preserve">Las Comunidades y Ciudades Autónomas evaluadas son aquellas con las que el CTBG ha suscrito un convenio de colaboración para la resolución de las reclamaciones por denegaciones de solicitudes de acceso a información pública. </w:t>
      </w:r>
    </w:p>
    <w:tbl>
      <w:tblPr>
        <w:tblStyle w:val="Listamedia1-nfasis2"/>
        <w:tblW w:w="0" w:type="auto"/>
        <w:tblLook w:val="04A0" w:firstRow="1" w:lastRow="0" w:firstColumn="1" w:lastColumn="0" w:noHBand="0" w:noVBand="1"/>
      </w:tblPr>
      <w:tblGrid>
        <w:gridCol w:w="9211"/>
      </w:tblGrid>
      <w:tr w:rsidR="00694E55" w:rsidRPr="00007245" w:rsidTr="00694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635840">
            <w:pPr>
              <w:rPr>
                <w:b w:val="0"/>
                <w:sz w:val="20"/>
              </w:rPr>
            </w:pPr>
          </w:p>
        </w:tc>
      </w:tr>
      <w:tr w:rsidR="00694E55" w:rsidRPr="00007245" w:rsidTr="00694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635840">
            <w:pPr>
              <w:rPr>
                <w:b w:val="0"/>
                <w:sz w:val="20"/>
              </w:rPr>
            </w:pPr>
            <w:r w:rsidRPr="00007245">
              <w:rPr>
                <w:b w:val="0"/>
                <w:sz w:val="20"/>
              </w:rPr>
              <w:t>Comunidad Autónoma de Cantabria</w:t>
            </w:r>
          </w:p>
        </w:tc>
      </w:tr>
      <w:tr w:rsidR="00694E55" w:rsidRPr="00007245" w:rsidTr="00694E55">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635840">
            <w:pPr>
              <w:rPr>
                <w:b w:val="0"/>
                <w:sz w:val="20"/>
              </w:rPr>
            </w:pPr>
            <w:r w:rsidRPr="00007245">
              <w:rPr>
                <w:b w:val="0"/>
                <w:sz w:val="20"/>
              </w:rPr>
              <w:t>Comunidad Autónoma de Castilla la Mancha</w:t>
            </w:r>
          </w:p>
        </w:tc>
      </w:tr>
      <w:tr w:rsidR="00694E55" w:rsidRPr="00007245" w:rsidTr="00694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635840">
            <w:pPr>
              <w:rPr>
                <w:b w:val="0"/>
                <w:sz w:val="20"/>
              </w:rPr>
            </w:pPr>
            <w:r w:rsidRPr="00007245">
              <w:rPr>
                <w:b w:val="0"/>
                <w:sz w:val="20"/>
              </w:rPr>
              <w:t>Ciudad Autónoma de Ceuta</w:t>
            </w:r>
          </w:p>
        </w:tc>
      </w:tr>
      <w:tr w:rsidR="00694E55" w:rsidRPr="00007245" w:rsidTr="00694E55">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635840">
            <w:pPr>
              <w:rPr>
                <w:b w:val="0"/>
                <w:sz w:val="20"/>
              </w:rPr>
            </w:pPr>
            <w:r w:rsidRPr="00007245">
              <w:rPr>
                <w:b w:val="0"/>
                <w:sz w:val="20"/>
              </w:rPr>
              <w:t>Comunidad Autónoma de Extremadura</w:t>
            </w:r>
          </w:p>
        </w:tc>
      </w:tr>
      <w:tr w:rsidR="00694E55" w:rsidRPr="00007245" w:rsidTr="00694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694E55" w:rsidP="00B1237C">
            <w:pPr>
              <w:rPr>
                <w:b w:val="0"/>
                <w:sz w:val="20"/>
              </w:rPr>
            </w:pPr>
            <w:r w:rsidRPr="00007245">
              <w:rPr>
                <w:b w:val="0"/>
                <w:sz w:val="20"/>
              </w:rPr>
              <w:t xml:space="preserve">Comunidad Autónoma de </w:t>
            </w:r>
            <w:r w:rsidR="00B1237C" w:rsidRPr="00007245">
              <w:rPr>
                <w:b w:val="0"/>
                <w:sz w:val="20"/>
              </w:rPr>
              <w:t>La Rioja</w:t>
            </w:r>
          </w:p>
        </w:tc>
      </w:tr>
      <w:tr w:rsidR="00694E55" w:rsidRPr="00007245" w:rsidTr="00694E55">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B1237C" w:rsidP="00635840">
            <w:pPr>
              <w:rPr>
                <w:b w:val="0"/>
                <w:sz w:val="20"/>
              </w:rPr>
            </w:pPr>
            <w:r w:rsidRPr="00007245">
              <w:rPr>
                <w:b w:val="0"/>
                <w:sz w:val="20"/>
              </w:rPr>
              <w:t>Comunidad Autónoma de Madrid</w:t>
            </w:r>
          </w:p>
        </w:tc>
      </w:tr>
      <w:tr w:rsidR="00694E55" w:rsidRPr="00007245" w:rsidTr="00694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694E55" w:rsidRPr="00007245" w:rsidRDefault="00B1237C" w:rsidP="00635840">
            <w:pPr>
              <w:rPr>
                <w:b w:val="0"/>
                <w:sz w:val="20"/>
              </w:rPr>
            </w:pPr>
            <w:r w:rsidRPr="00007245">
              <w:rPr>
                <w:b w:val="0"/>
                <w:sz w:val="20"/>
              </w:rPr>
              <w:t>Ciudad Autónoma de Melilla</w:t>
            </w:r>
          </w:p>
        </w:tc>
      </w:tr>
      <w:tr w:rsidR="00B1237C" w:rsidRPr="00007245" w:rsidTr="00694E55">
        <w:tc>
          <w:tcPr>
            <w:cnfStyle w:val="001000000000" w:firstRow="0" w:lastRow="0" w:firstColumn="1" w:lastColumn="0" w:oddVBand="0" w:evenVBand="0" w:oddHBand="0" w:evenHBand="0" w:firstRowFirstColumn="0" w:firstRowLastColumn="0" w:lastRowFirstColumn="0" w:lastRowLastColumn="0"/>
            <w:tcW w:w="9211" w:type="dxa"/>
          </w:tcPr>
          <w:p w:rsidR="00B1237C" w:rsidRPr="00007245" w:rsidRDefault="00B1237C" w:rsidP="00635840">
            <w:pPr>
              <w:rPr>
                <w:b w:val="0"/>
                <w:sz w:val="20"/>
              </w:rPr>
            </w:pPr>
            <w:r w:rsidRPr="00007245">
              <w:rPr>
                <w:b w:val="0"/>
                <w:sz w:val="20"/>
              </w:rPr>
              <w:t>Comunidad Autónoma del Principado de Asturias</w:t>
            </w:r>
          </w:p>
        </w:tc>
      </w:tr>
    </w:tbl>
    <w:p w:rsidR="00635840" w:rsidRDefault="00635840" w:rsidP="00635840">
      <w:r>
        <w:tab/>
      </w:r>
    </w:p>
    <w:p w:rsidR="00141DBA" w:rsidRDefault="00141DBA" w:rsidP="00077CDF">
      <w:pPr>
        <w:pStyle w:val="Ttulo2"/>
      </w:pPr>
    </w:p>
    <w:p w:rsidR="00CE43A8" w:rsidRPr="00CE43A8" w:rsidRDefault="00CE43A8" w:rsidP="00077CDF">
      <w:pPr>
        <w:pStyle w:val="Ttulo2"/>
      </w:pPr>
      <w:bookmarkStart w:id="3" w:name="_Toc92897751"/>
      <w:r w:rsidRPr="00CE43A8">
        <w:t>II.2 Delimitación de las obligaciones de publicidad activa aplicables.</w:t>
      </w:r>
      <w:bookmarkEnd w:id="3"/>
    </w:p>
    <w:p w:rsidR="00077CDF" w:rsidRDefault="00077CDF" w:rsidP="00CE43A8"/>
    <w:p w:rsidR="004D7FBE" w:rsidRDefault="00077CDF" w:rsidP="00B1237C">
      <w:r>
        <w:t>E</w:t>
      </w:r>
      <w:r w:rsidR="00CE43A8">
        <w:t xml:space="preserve">l alcance de la evaluación se ha definido en función de las obligaciones de publicidad activa que son aplicables a </w:t>
      </w:r>
      <w:r w:rsidR="003A47B5">
        <w:t>este grupo de</w:t>
      </w:r>
      <w:r w:rsidR="00141DBA">
        <w:t xml:space="preserve"> </w:t>
      </w:r>
      <w:r w:rsidR="00CE43A8">
        <w:t xml:space="preserve"> sujetos obligados</w:t>
      </w:r>
      <w:r w:rsidR="00414FFB">
        <w:t>.</w:t>
      </w:r>
      <w:r w:rsidR="004D7FBE">
        <w:t xml:space="preserve"> </w:t>
      </w:r>
    </w:p>
    <w:p w:rsidR="001D364C" w:rsidRDefault="00CE43A8" w:rsidP="00CE43A8">
      <w:r>
        <w:lastRenderedPageBreak/>
        <w:t xml:space="preserve">El siguiente cuadro recoge las obligaciones de publicidad activa que son aplicables a </w:t>
      </w:r>
      <w:r w:rsidR="001D364C">
        <w:t>las entidades que integran este grupo</w:t>
      </w:r>
      <w:r w:rsidR="009417A3">
        <w:t>.</w:t>
      </w:r>
    </w:p>
    <w:p w:rsidR="00563729" w:rsidRPr="00563729" w:rsidRDefault="00563729" w:rsidP="00563729">
      <w:pPr>
        <w:pStyle w:val="Epgrafe"/>
        <w:keepNext/>
        <w:rPr>
          <w:color w:val="325F64" w:themeColor="accent2" w:themeShade="BF"/>
          <w:sz w:val="22"/>
          <w:szCs w:val="22"/>
        </w:rPr>
      </w:pPr>
      <w:r w:rsidRPr="00563729">
        <w:rPr>
          <w:color w:val="325F64" w:themeColor="accent2" w:themeShade="BF"/>
          <w:sz w:val="22"/>
          <w:szCs w:val="22"/>
        </w:rPr>
        <w:t xml:space="preserve">Cuadro </w:t>
      </w:r>
      <w:r w:rsidRPr="00563729">
        <w:rPr>
          <w:color w:val="325F64" w:themeColor="accent2" w:themeShade="BF"/>
          <w:sz w:val="22"/>
          <w:szCs w:val="22"/>
        </w:rPr>
        <w:fldChar w:fldCharType="begin"/>
      </w:r>
      <w:r w:rsidRPr="00563729">
        <w:rPr>
          <w:color w:val="325F64" w:themeColor="accent2" w:themeShade="BF"/>
          <w:sz w:val="22"/>
          <w:szCs w:val="22"/>
        </w:rPr>
        <w:instrText xml:space="preserve"> SEQ Cuadro \* ARABIC </w:instrText>
      </w:r>
      <w:r w:rsidRPr="00563729">
        <w:rPr>
          <w:color w:val="325F64" w:themeColor="accent2" w:themeShade="BF"/>
          <w:sz w:val="22"/>
          <w:szCs w:val="22"/>
        </w:rPr>
        <w:fldChar w:fldCharType="separate"/>
      </w:r>
      <w:r w:rsidR="00801472">
        <w:rPr>
          <w:noProof/>
          <w:color w:val="325F64" w:themeColor="accent2" w:themeShade="BF"/>
          <w:sz w:val="22"/>
          <w:szCs w:val="22"/>
        </w:rPr>
        <w:t>1</w:t>
      </w:r>
      <w:r w:rsidRPr="00563729">
        <w:rPr>
          <w:color w:val="325F64" w:themeColor="accent2" w:themeShade="BF"/>
          <w:sz w:val="22"/>
          <w:szCs w:val="22"/>
        </w:rPr>
        <w:fldChar w:fldCharType="end"/>
      </w:r>
      <w:r w:rsidRPr="00563729">
        <w:rPr>
          <w:color w:val="325F64" w:themeColor="accent2" w:themeShade="BF"/>
          <w:sz w:val="22"/>
          <w:szCs w:val="22"/>
        </w:rPr>
        <w:t xml:space="preserve">: Obligaciones aplicables a las </w:t>
      </w:r>
      <w:r w:rsidR="00B1237C">
        <w:rPr>
          <w:color w:val="325F64" w:themeColor="accent2" w:themeShade="BF"/>
          <w:sz w:val="22"/>
          <w:szCs w:val="22"/>
        </w:rPr>
        <w:t>Comunidades Autónomas</w:t>
      </w:r>
    </w:p>
    <w:tbl>
      <w:tblPr>
        <w:tblStyle w:val="Tablaconcuadrcula3"/>
        <w:tblW w:w="10031" w:type="dxa"/>
        <w:tblLook w:val="04A0" w:firstRow="1" w:lastRow="0" w:firstColumn="1" w:lastColumn="0" w:noHBand="0" w:noVBand="1"/>
      </w:tblPr>
      <w:tblGrid>
        <w:gridCol w:w="1603"/>
        <w:gridCol w:w="8428"/>
      </w:tblGrid>
      <w:tr w:rsidR="00B1237C" w:rsidRPr="00B1237C" w:rsidTr="00B1237C">
        <w:tc>
          <w:tcPr>
            <w:tcW w:w="1603" w:type="dxa"/>
            <w:tcBorders>
              <w:top w:val="nil"/>
              <w:left w:val="single" w:sz="4" w:space="0" w:color="FFFFFF" w:themeColor="background1"/>
              <w:bottom w:val="single" w:sz="4" w:space="0" w:color="FFFFFF" w:themeColor="background1"/>
              <w:right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r w:rsidRPr="00B1237C">
              <w:rPr>
                <w:rFonts w:cs="Times New Roman"/>
                <w:b/>
                <w:color w:val="FFFFFF"/>
                <w:sz w:val="20"/>
              </w:rPr>
              <w:t>Bloque de obligaciones</w:t>
            </w:r>
          </w:p>
        </w:tc>
        <w:tc>
          <w:tcPr>
            <w:tcW w:w="8428" w:type="dxa"/>
            <w:tcBorders>
              <w:top w:val="nil"/>
              <w:left w:val="single" w:sz="4" w:space="0" w:color="FFFFFF" w:themeColor="background1"/>
              <w:bottom w:val="nil"/>
              <w:right w:val="single" w:sz="4" w:space="0" w:color="FFFFFF" w:themeColor="background1"/>
            </w:tcBorders>
            <w:shd w:val="clear" w:color="auto" w:fill="438086" w:themeFill="accent2"/>
          </w:tcPr>
          <w:p w:rsidR="00B1237C" w:rsidRPr="00B1237C" w:rsidRDefault="00B1237C" w:rsidP="00B1237C">
            <w:pPr>
              <w:jc w:val="center"/>
              <w:rPr>
                <w:rFonts w:cs="Times New Roman"/>
                <w:b/>
                <w:color w:val="FFFFFF"/>
                <w:sz w:val="20"/>
              </w:rPr>
            </w:pPr>
            <w:r w:rsidRPr="00B1237C">
              <w:rPr>
                <w:rFonts w:cs="Times New Roman"/>
                <w:b/>
                <w:color w:val="FFFFFF"/>
                <w:sz w:val="20"/>
              </w:rPr>
              <w:t>Obligaciones</w:t>
            </w:r>
          </w:p>
        </w:tc>
      </w:tr>
      <w:tr w:rsidR="00B1237C" w:rsidRPr="00B1237C" w:rsidTr="00B1237C">
        <w:tc>
          <w:tcPr>
            <w:tcW w:w="1603" w:type="dxa"/>
            <w:vMerge w:val="restart"/>
            <w:tcBorders>
              <w:top w:val="single" w:sz="4" w:space="0" w:color="FFFFFF" w:themeColor="background1"/>
              <w:bottom w:val="nil"/>
              <w:right w:val="nil"/>
            </w:tcBorders>
            <w:shd w:val="clear" w:color="auto" w:fill="438086" w:themeFill="accent2"/>
            <w:textDirection w:val="btLr"/>
          </w:tcPr>
          <w:p w:rsidR="00B1237C" w:rsidRPr="00B1237C" w:rsidRDefault="00B1237C" w:rsidP="00B1237C">
            <w:pPr>
              <w:ind w:left="113" w:right="113"/>
              <w:jc w:val="center"/>
              <w:rPr>
                <w:rFonts w:cs="Times New Roman"/>
                <w:b/>
                <w:color w:val="FFFFFF"/>
                <w:sz w:val="20"/>
              </w:rPr>
            </w:pPr>
            <w:r w:rsidRPr="00B1237C">
              <w:rPr>
                <w:rFonts w:cs="Times New Roman"/>
                <w:b/>
                <w:color w:val="FFFFFF"/>
                <w:sz w:val="20"/>
              </w:rPr>
              <w:t>Institucional, Organizativa y de Planificación. Registro de Actividades de Tratamiento</w:t>
            </w:r>
          </w:p>
        </w:tc>
        <w:tc>
          <w:tcPr>
            <w:tcW w:w="8428" w:type="dxa"/>
            <w:tcBorders>
              <w:top w:val="nil"/>
              <w:left w:val="nil"/>
            </w:tcBorders>
          </w:tcPr>
          <w:p w:rsidR="00B1237C" w:rsidRPr="00B1237C" w:rsidRDefault="00B1237C" w:rsidP="00B1237C">
            <w:pPr>
              <w:jc w:val="left"/>
              <w:rPr>
                <w:rFonts w:cs="Times New Roman"/>
                <w:sz w:val="20"/>
              </w:rPr>
            </w:pPr>
            <w:r w:rsidRPr="00B1237C">
              <w:rPr>
                <w:rFonts w:cs="Times New Roman"/>
                <w:sz w:val="20"/>
              </w:rPr>
              <w:t>Normativa aplicable</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Funciones</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Registro de Actividades de Tratamiento</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Descripción estructura organizativa</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Organigrama</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Identificación Responsables</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Perfil y trayectoria profesional responsables</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 xml:space="preserve">Planes y Programas </w:t>
            </w:r>
          </w:p>
        </w:tc>
      </w:tr>
      <w:tr w:rsidR="00B1237C" w:rsidRPr="00B1237C" w:rsidTr="00B1237C">
        <w:tc>
          <w:tcPr>
            <w:tcW w:w="1603" w:type="dxa"/>
            <w:vMerge/>
            <w:tcBorders>
              <w:top w:val="single" w:sz="4" w:space="0" w:color="FFFFFF" w:themeColor="background1"/>
              <w:bottom w:val="nil"/>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Grado de cumplimiento y resultados</w:t>
            </w:r>
          </w:p>
        </w:tc>
      </w:tr>
      <w:tr w:rsidR="00B1237C" w:rsidRPr="00B1237C" w:rsidTr="00B1237C">
        <w:tc>
          <w:tcPr>
            <w:tcW w:w="1603" w:type="dxa"/>
            <w:vMerge/>
            <w:tcBorders>
              <w:top w:val="single" w:sz="4" w:space="0" w:color="FFFFFF" w:themeColor="background1"/>
              <w:bottom w:val="single" w:sz="4" w:space="0" w:color="FFFFFF" w:themeColor="background1"/>
              <w:right w:val="nil"/>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Indicadores de medida y valoración</w:t>
            </w:r>
          </w:p>
        </w:tc>
      </w:tr>
      <w:tr w:rsidR="00B1237C" w:rsidRPr="00B1237C" w:rsidTr="00B1237C">
        <w:tc>
          <w:tcPr>
            <w:tcW w:w="1603" w:type="dxa"/>
            <w:vMerge w:val="restart"/>
            <w:tcBorders>
              <w:top w:val="single" w:sz="4" w:space="0" w:color="FFFFFF" w:themeColor="background1"/>
              <w:right w:val="nil"/>
            </w:tcBorders>
            <w:shd w:val="clear" w:color="auto" w:fill="438086" w:themeFill="accent2"/>
            <w:textDirection w:val="btLr"/>
          </w:tcPr>
          <w:p w:rsidR="00B1237C" w:rsidRPr="00B1237C" w:rsidRDefault="00B1237C" w:rsidP="00B1237C">
            <w:pPr>
              <w:ind w:left="113" w:right="113"/>
              <w:jc w:val="center"/>
              <w:rPr>
                <w:rFonts w:cs="Times New Roman"/>
                <w:b/>
                <w:color w:val="FFFFFF"/>
                <w:sz w:val="20"/>
              </w:rPr>
            </w:pPr>
            <w:r w:rsidRPr="00B1237C">
              <w:rPr>
                <w:rFonts w:cs="Times New Roman"/>
                <w:b/>
                <w:color w:val="FFFFFF"/>
                <w:sz w:val="20"/>
              </w:rPr>
              <w:t>Relevancia Jurídica</w:t>
            </w: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Directrices, instrucciones, acuerdos, circulares o respuestas a consultas</w:t>
            </w:r>
          </w:p>
        </w:tc>
      </w:tr>
      <w:tr w:rsidR="00B1237C" w:rsidRPr="00B1237C" w:rsidTr="00B1237C">
        <w:tc>
          <w:tcPr>
            <w:tcW w:w="1603" w:type="dxa"/>
            <w:vMerge/>
            <w:tcBorders>
              <w:right w:val="nil"/>
            </w:tcBorders>
            <w:shd w:val="clear" w:color="auto" w:fill="438086" w:themeFill="accent2"/>
          </w:tcPr>
          <w:p w:rsidR="00B1237C" w:rsidRPr="00B1237C" w:rsidRDefault="00B1237C" w:rsidP="00B1237C">
            <w:pPr>
              <w:jc w:val="left"/>
              <w:rPr>
                <w:rFonts w:cs="Times New Roman"/>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Anteproyectos de Ley</w:t>
            </w:r>
          </w:p>
        </w:tc>
      </w:tr>
      <w:tr w:rsidR="00B1237C" w:rsidRPr="00B1237C" w:rsidTr="00B1237C">
        <w:tc>
          <w:tcPr>
            <w:tcW w:w="1603" w:type="dxa"/>
            <w:vMerge/>
            <w:tcBorders>
              <w:right w:val="nil"/>
            </w:tcBorders>
            <w:shd w:val="clear" w:color="auto" w:fill="438086" w:themeFill="accent2"/>
          </w:tcPr>
          <w:p w:rsidR="00B1237C" w:rsidRPr="00B1237C" w:rsidRDefault="00B1237C" w:rsidP="00B1237C">
            <w:pPr>
              <w:jc w:val="left"/>
              <w:rPr>
                <w:rFonts w:cs="Times New Roman"/>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Proyectos de Decretos Legislativos</w:t>
            </w:r>
          </w:p>
        </w:tc>
      </w:tr>
      <w:tr w:rsidR="00B1237C" w:rsidRPr="00B1237C" w:rsidTr="00B1237C">
        <w:tc>
          <w:tcPr>
            <w:tcW w:w="1603" w:type="dxa"/>
            <w:vMerge/>
            <w:tcBorders>
              <w:right w:val="nil"/>
            </w:tcBorders>
            <w:shd w:val="clear" w:color="auto" w:fill="438086" w:themeFill="accent2"/>
          </w:tcPr>
          <w:p w:rsidR="00B1237C" w:rsidRPr="00B1237C" w:rsidRDefault="00B1237C" w:rsidP="00B1237C">
            <w:pPr>
              <w:jc w:val="left"/>
              <w:rPr>
                <w:rFonts w:cs="Times New Roman"/>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Proyectos de Reglamentos</w:t>
            </w:r>
          </w:p>
        </w:tc>
      </w:tr>
      <w:tr w:rsidR="00B1237C" w:rsidRPr="00B1237C" w:rsidTr="00B1237C">
        <w:tc>
          <w:tcPr>
            <w:tcW w:w="1603" w:type="dxa"/>
            <w:vMerge/>
            <w:tcBorders>
              <w:right w:val="nil"/>
            </w:tcBorders>
            <w:shd w:val="clear" w:color="auto" w:fill="438086" w:themeFill="accent2"/>
          </w:tcPr>
          <w:p w:rsidR="00B1237C" w:rsidRPr="00B1237C" w:rsidRDefault="00B1237C" w:rsidP="00B1237C">
            <w:pPr>
              <w:jc w:val="left"/>
              <w:rPr>
                <w:rFonts w:cs="Times New Roman"/>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Memorias e informes que conformen los expedientes de elaboración de los textos normativos</w:t>
            </w:r>
          </w:p>
        </w:tc>
      </w:tr>
      <w:tr w:rsidR="00B1237C" w:rsidRPr="00B1237C" w:rsidTr="00B1237C">
        <w:tc>
          <w:tcPr>
            <w:tcW w:w="1603" w:type="dxa"/>
            <w:vMerge/>
            <w:tcBorders>
              <w:bottom w:val="single" w:sz="4" w:space="0" w:color="FFFFFF" w:themeColor="background1"/>
              <w:right w:val="nil"/>
            </w:tcBorders>
            <w:shd w:val="clear" w:color="auto" w:fill="438086" w:themeFill="accent2"/>
          </w:tcPr>
          <w:p w:rsidR="00B1237C" w:rsidRPr="00B1237C" w:rsidRDefault="00B1237C" w:rsidP="00B1237C">
            <w:pPr>
              <w:jc w:val="left"/>
              <w:rPr>
                <w:rFonts w:cs="Times New Roman"/>
                <w:sz w:val="20"/>
              </w:rPr>
            </w:pPr>
          </w:p>
        </w:tc>
        <w:tc>
          <w:tcPr>
            <w:tcW w:w="8428" w:type="dxa"/>
            <w:tcBorders>
              <w:left w:val="nil"/>
            </w:tcBorders>
          </w:tcPr>
          <w:p w:rsidR="00B1237C" w:rsidRPr="00B1237C" w:rsidRDefault="00B1237C" w:rsidP="00B1237C">
            <w:pPr>
              <w:jc w:val="left"/>
              <w:rPr>
                <w:rFonts w:cs="Times New Roman"/>
                <w:sz w:val="20"/>
              </w:rPr>
            </w:pPr>
            <w:r w:rsidRPr="00B1237C">
              <w:rPr>
                <w:rFonts w:cs="Times New Roman"/>
                <w:sz w:val="20"/>
              </w:rPr>
              <w:t>Documentos sometidos a información pública durante su tramitación</w:t>
            </w:r>
          </w:p>
        </w:tc>
      </w:tr>
      <w:tr w:rsidR="00B1237C" w:rsidRPr="00B1237C" w:rsidTr="00B1237C">
        <w:tc>
          <w:tcPr>
            <w:tcW w:w="1603" w:type="dxa"/>
            <w:vMerge w:val="restart"/>
            <w:tcBorders>
              <w:top w:val="nil"/>
              <w:bottom w:val="single" w:sz="4" w:space="0" w:color="FFFFFF" w:themeColor="background1"/>
            </w:tcBorders>
            <w:shd w:val="clear" w:color="auto" w:fill="438086" w:themeFill="accent2"/>
            <w:textDirection w:val="btLr"/>
          </w:tcPr>
          <w:p w:rsidR="00B1237C" w:rsidRPr="00B1237C" w:rsidRDefault="00B1237C" w:rsidP="00B1237C">
            <w:pPr>
              <w:ind w:left="113" w:right="113"/>
              <w:jc w:val="center"/>
              <w:rPr>
                <w:rFonts w:cs="Times New Roman"/>
                <w:b/>
                <w:color w:val="FFFFFF"/>
                <w:sz w:val="20"/>
              </w:rPr>
            </w:pPr>
            <w:r w:rsidRPr="00B1237C">
              <w:rPr>
                <w:rFonts w:cs="Times New Roman"/>
                <w:b/>
                <w:color w:val="FFFFFF"/>
                <w:sz w:val="20"/>
              </w:rPr>
              <w:t>Económica, Presupuestaria y Estadística</w:t>
            </w:r>
          </w:p>
        </w:tc>
        <w:tc>
          <w:tcPr>
            <w:tcW w:w="8428" w:type="dxa"/>
          </w:tcPr>
          <w:p w:rsidR="00B1237C" w:rsidRPr="00B1237C" w:rsidRDefault="00B1237C" w:rsidP="00B1237C">
            <w:pPr>
              <w:jc w:val="left"/>
              <w:rPr>
                <w:rFonts w:cs="Times New Roman"/>
                <w:sz w:val="20"/>
              </w:rPr>
            </w:pPr>
            <w:r w:rsidRPr="00B1237C">
              <w:rPr>
                <w:rFonts w:cs="Times New Roman"/>
                <w:sz w:val="20"/>
              </w:rPr>
              <w:t xml:space="preserve">Contratos </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 xml:space="preserve">Modificaciones  de contratos </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 xml:space="preserve">Desistimientos y Renuncias </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Datos estadísticos sobre contratos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Contratos Menores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Relación de los convenios suscritos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Encomiendas y Encargos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Subcontrataciones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 xml:space="preserve">Subvenciones y ayudas públicas </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Presupuestos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Ejecución presupuestaria</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Cumplimiento de los objetivos de estabilidad presupuestaria</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Cumplimiento de los objetivos de sostenibilidad financiera</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Cuentas anuales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Informes de auditoría de cuentas y de fiscalización por órganos de control externo</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Retribuciones anuales Altos Cargos y máximos responsables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Indemnizaciones percibidas por Altos Cargos con ocasión del abandono del cargo</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Resoluciones de autorización o reconocimiento de compatibilidad de empleados.</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Pr>
          <w:p w:rsidR="00B1237C" w:rsidRPr="00B1237C" w:rsidRDefault="00B1237C" w:rsidP="00B1237C">
            <w:pPr>
              <w:jc w:val="left"/>
              <w:rPr>
                <w:rFonts w:cs="Times New Roman"/>
                <w:sz w:val="20"/>
              </w:rPr>
            </w:pPr>
            <w:r w:rsidRPr="00B1237C">
              <w:rPr>
                <w:rFonts w:cs="Times New Roman"/>
                <w:sz w:val="20"/>
              </w:rPr>
              <w:t>Autorización para actividad privada al cese de altos cargos en la AGE, CCAA o EELL</w:t>
            </w:r>
          </w:p>
        </w:tc>
      </w:tr>
      <w:tr w:rsidR="00B1237C" w:rsidRPr="00B1237C" w:rsidTr="00B1237C">
        <w:tc>
          <w:tcPr>
            <w:tcW w:w="1603" w:type="dxa"/>
            <w:vMerge/>
            <w:tcBorders>
              <w:bottom w:val="single" w:sz="4" w:space="0" w:color="FFFFFF" w:themeColor="background1"/>
            </w:tcBorders>
            <w:shd w:val="clear" w:color="auto" w:fill="438086" w:themeFill="accent2"/>
          </w:tcPr>
          <w:p w:rsidR="00B1237C" w:rsidRPr="00B1237C" w:rsidRDefault="00B1237C" w:rsidP="00B1237C">
            <w:pPr>
              <w:jc w:val="left"/>
              <w:rPr>
                <w:rFonts w:cs="Times New Roman"/>
                <w:b/>
                <w:color w:val="FFFFFF"/>
                <w:sz w:val="20"/>
              </w:rPr>
            </w:pPr>
          </w:p>
        </w:tc>
        <w:tc>
          <w:tcPr>
            <w:tcW w:w="8428" w:type="dxa"/>
            <w:tcBorders>
              <w:bottom w:val="single" w:sz="4" w:space="0" w:color="000000" w:themeColor="text1"/>
            </w:tcBorders>
          </w:tcPr>
          <w:p w:rsidR="00B1237C" w:rsidRPr="00B1237C" w:rsidRDefault="00B1237C" w:rsidP="00B1237C">
            <w:pPr>
              <w:jc w:val="left"/>
              <w:rPr>
                <w:rFonts w:cs="Times New Roman"/>
                <w:sz w:val="20"/>
              </w:rPr>
            </w:pPr>
            <w:r w:rsidRPr="00B1237C">
              <w:rPr>
                <w:rFonts w:cs="Times New Roman"/>
                <w:sz w:val="20"/>
              </w:rPr>
              <w:t>Información estadística necesaria para valorar el grado de cumplimiento y calidad de los servicios públicos de su competencia</w:t>
            </w:r>
          </w:p>
        </w:tc>
      </w:tr>
      <w:tr w:rsidR="00B1237C" w:rsidRPr="00B1237C" w:rsidTr="00B1237C">
        <w:tc>
          <w:tcPr>
            <w:tcW w:w="1603" w:type="dxa"/>
            <w:tcBorders>
              <w:top w:val="single" w:sz="4" w:space="0" w:color="FFFFFF" w:themeColor="background1"/>
              <w:bottom w:val="nil"/>
            </w:tcBorders>
            <w:shd w:val="clear" w:color="auto" w:fill="438086" w:themeFill="accent2"/>
          </w:tcPr>
          <w:p w:rsidR="00B1237C" w:rsidRPr="00B1237C" w:rsidRDefault="00B1237C" w:rsidP="00B1237C">
            <w:pPr>
              <w:jc w:val="left"/>
              <w:rPr>
                <w:rFonts w:cs="Times New Roman"/>
                <w:b/>
                <w:color w:val="FFFFFF"/>
                <w:sz w:val="20"/>
              </w:rPr>
            </w:pPr>
            <w:r w:rsidRPr="00B1237C">
              <w:rPr>
                <w:rFonts w:cs="Times New Roman"/>
                <w:b/>
                <w:color w:val="FFFFFF"/>
                <w:sz w:val="20"/>
              </w:rPr>
              <w:t>Información Patrimonial</w:t>
            </w:r>
          </w:p>
        </w:tc>
        <w:tc>
          <w:tcPr>
            <w:tcW w:w="8428" w:type="dxa"/>
            <w:tcBorders>
              <w:bottom w:val="single" w:sz="4" w:space="0" w:color="000000" w:themeColor="text1"/>
            </w:tcBorders>
          </w:tcPr>
          <w:p w:rsidR="00B1237C" w:rsidRPr="00B1237C" w:rsidRDefault="00B1237C" w:rsidP="00B1237C">
            <w:pPr>
              <w:jc w:val="left"/>
              <w:rPr>
                <w:rFonts w:cs="Times New Roman"/>
                <w:sz w:val="20"/>
              </w:rPr>
            </w:pPr>
            <w:r w:rsidRPr="00B1237C">
              <w:rPr>
                <w:rFonts w:cs="Times New Roman"/>
                <w:sz w:val="20"/>
              </w:rPr>
              <w:t>Relación de los bienes inmuebles que sean de su propiedad o sobre los que ostenten algún derecho real.</w:t>
            </w:r>
          </w:p>
        </w:tc>
      </w:tr>
    </w:tbl>
    <w:p w:rsidR="001D364C" w:rsidRDefault="001D364C" w:rsidP="00CE43A8"/>
    <w:p w:rsidR="00E719EF" w:rsidRDefault="00414FFB" w:rsidP="00E719EF">
      <w:r>
        <w:t>Por otra parte,</w:t>
      </w:r>
      <w:r w:rsidR="00F07996" w:rsidRPr="00F07996">
        <w:t xml:space="preserve"> pueden existir ámbitos en los que </w:t>
      </w:r>
      <w:r w:rsidR="009417A3">
        <w:t>una</w:t>
      </w:r>
      <w:r w:rsidR="00F07996" w:rsidRPr="00F07996">
        <w:t xml:space="preserve"> </w:t>
      </w:r>
      <w:r w:rsidR="00B1237C">
        <w:t>Comunidad o Ciudad Autónoma</w:t>
      </w:r>
      <w:r w:rsidR="009417A3">
        <w:t xml:space="preserve"> concreta</w:t>
      </w:r>
      <w:r w:rsidR="00F07996" w:rsidRPr="00F07996">
        <w:t xml:space="preserve"> carezca de competencias para desarrollar las actividades a </w:t>
      </w:r>
      <w:r w:rsidR="00F07996" w:rsidRPr="00F07996">
        <w:lastRenderedPageBreak/>
        <w:t xml:space="preserve">las que se refiere una determinada obligación de publicidad activa o porque en un ámbito concreto no haya existido actividad –por ejemplo, </w:t>
      </w:r>
      <w:r w:rsidR="00B1237C">
        <w:t xml:space="preserve">que no esté contemplada legalmente la concesión de indemnizaciones a altos cargos con ocasión del cese </w:t>
      </w:r>
      <w:r w:rsidR="00F07996" w:rsidRPr="00F07996">
        <w:t xml:space="preserve"> –.</w:t>
      </w:r>
    </w:p>
    <w:p w:rsidR="005F586A" w:rsidRPr="00077CDF" w:rsidRDefault="000B5A54" w:rsidP="00E719EF">
      <w:pPr>
        <w:pStyle w:val="Ttulo1"/>
      </w:pPr>
      <w:bookmarkStart w:id="4" w:name="_Toc92897752"/>
      <w:r w:rsidRPr="00E719EF">
        <w:rPr>
          <w:rStyle w:val="Ttulo1Car"/>
        </w:rPr>
        <w:t xml:space="preserve">III. </w:t>
      </w:r>
      <w:r w:rsidR="005F586A" w:rsidRPr="00E719EF">
        <w:rPr>
          <w:rStyle w:val="Ttulo1Car"/>
        </w:rPr>
        <w:t>Evaluación del cumplimiento de las obligaciones de publicidad activa</w:t>
      </w:r>
      <w:bookmarkEnd w:id="4"/>
      <w:r w:rsidR="00090A3E" w:rsidRPr="00E719EF">
        <w:rPr>
          <w:rStyle w:val="Ttulo1Car"/>
        </w:rPr>
        <w:t xml:space="preserve"> </w:t>
      </w:r>
    </w:p>
    <w:p w:rsidR="005F586A" w:rsidRDefault="005F586A" w:rsidP="005F586A"/>
    <w:p w:rsidR="0020242C" w:rsidRDefault="0020242C" w:rsidP="0020242C">
      <w:pPr>
        <w:pStyle w:val="Ttulo2"/>
      </w:pPr>
      <w:bookmarkStart w:id="5" w:name="_Toc92897753"/>
      <w:r>
        <w:t>III.1 Aplicación de las recomendaciones derivadas de la evaluación 2020.</w:t>
      </w:r>
      <w:bookmarkEnd w:id="5"/>
    </w:p>
    <w:p w:rsidR="0020242C" w:rsidRDefault="0020242C" w:rsidP="0020242C"/>
    <w:p w:rsidR="0020242C" w:rsidRDefault="00A74A43" w:rsidP="00A74A43">
      <w:r>
        <w:t xml:space="preserve">En 2020 se efectuaron </w:t>
      </w:r>
      <w:r w:rsidR="0015416B">
        <w:t>109</w:t>
      </w:r>
      <w:r>
        <w:t xml:space="preserve"> recomendaciones a las </w:t>
      </w:r>
      <w:r w:rsidR="0015416B">
        <w:t>8</w:t>
      </w:r>
      <w:r w:rsidR="006F1411">
        <w:t xml:space="preserve"> </w:t>
      </w:r>
      <w:r w:rsidR="0015416B">
        <w:t>instituciones</w:t>
      </w:r>
      <w:r>
        <w:t xml:space="preserve"> evaluadas. </w:t>
      </w:r>
      <w:r w:rsidR="006F1411">
        <w:t xml:space="preserve">En promedio  se realizaron casi </w:t>
      </w:r>
      <w:r w:rsidR="0015416B">
        <w:t>14</w:t>
      </w:r>
      <w:r w:rsidR="006F1411">
        <w:t xml:space="preserve"> recomendaciones</w:t>
      </w:r>
      <w:r w:rsidR="002C5C4E">
        <w:t xml:space="preserve"> por </w:t>
      </w:r>
      <w:r w:rsidR="0015416B">
        <w:t>institución</w:t>
      </w:r>
      <w:r w:rsidR="006F1411">
        <w:t xml:space="preserve">. </w:t>
      </w:r>
      <w:r>
        <w:t xml:space="preserve">De ellas se ha aplicado un total de </w:t>
      </w:r>
      <w:r w:rsidR="0015416B">
        <w:t>27</w:t>
      </w:r>
      <w:r>
        <w:t xml:space="preserve">, lo que supone un </w:t>
      </w:r>
      <w:r w:rsidR="0015416B">
        <w:t>24</w:t>
      </w:r>
      <w:r w:rsidR="00376BF1">
        <w:t>,8</w:t>
      </w:r>
      <w:r>
        <w:t>% del total. Un</w:t>
      </w:r>
      <w:r w:rsidR="0015416B">
        <w:t>a</w:t>
      </w:r>
      <w:r>
        <w:t xml:space="preserve"> de las </w:t>
      </w:r>
      <w:r w:rsidR="0015416B">
        <w:t>instituciones</w:t>
      </w:r>
      <w:r>
        <w:t xml:space="preserve"> evaluadas no aplic</w:t>
      </w:r>
      <w:r w:rsidR="0015416B">
        <w:t>ó</w:t>
      </w:r>
      <w:r>
        <w:t xml:space="preserve"> ninguna de las recomendaciones mientras que </w:t>
      </w:r>
      <w:r w:rsidR="00DB4284">
        <w:t>un</w:t>
      </w:r>
      <w:r>
        <w:t xml:space="preserve"> </w:t>
      </w:r>
      <w:r w:rsidR="0015416B">
        <w:t>62,5</w:t>
      </w:r>
      <w:r>
        <w:t xml:space="preserve">% aplicó </w:t>
      </w:r>
      <w:r w:rsidR="0015416B">
        <w:t>entre el 20 y el 40</w:t>
      </w:r>
      <w:r>
        <w:t>%.</w:t>
      </w:r>
    </w:p>
    <w:p w:rsidR="00800423" w:rsidRPr="00800423" w:rsidRDefault="00800423" w:rsidP="00800423">
      <w:pPr>
        <w:rPr>
          <w:b/>
          <w:color w:val="438086" w:themeColor="accent2"/>
          <w:szCs w:val="22"/>
        </w:rPr>
      </w:pPr>
      <w:r w:rsidRPr="00800423">
        <w:rPr>
          <w:b/>
          <w:color w:val="438086" w:themeColor="accent2"/>
          <w:szCs w:val="22"/>
        </w:rPr>
        <w:t xml:space="preserve">Gráfico </w:t>
      </w:r>
      <w:r w:rsidRPr="00800423">
        <w:rPr>
          <w:b/>
          <w:color w:val="438086" w:themeColor="accent2"/>
          <w:szCs w:val="22"/>
        </w:rPr>
        <w:fldChar w:fldCharType="begin"/>
      </w:r>
      <w:r w:rsidRPr="00800423">
        <w:rPr>
          <w:b/>
          <w:color w:val="438086" w:themeColor="accent2"/>
          <w:szCs w:val="22"/>
        </w:rPr>
        <w:instrText xml:space="preserve"> SEQ Gráfico \* ARABIC </w:instrText>
      </w:r>
      <w:r w:rsidRPr="00800423">
        <w:rPr>
          <w:b/>
          <w:color w:val="438086" w:themeColor="accent2"/>
          <w:szCs w:val="22"/>
        </w:rPr>
        <w:fldChar w:fldCharType="separate"/>
      </w:r>
      <w:r w:rsidR="00057601">
        <w:rPr>
          <w:b/>
          <w:noProof/>
          <w:color w:val="438086" w:themeColor="accent2"/>
          <w:szCs w:val="22"/>
        </w:rPr>
        <w:t>1</w:t>
      </w:r>
      <w:r w:rsidRPr="00800423">
        <w:rPr>
          <w:b/>
          <w:color w:val="438086" w:themeColor="accent2"/>
          <w:szCs w:val="22"/>
        </w:rPr>
        <w:fldChar w:fldCharType="end"/>
      </w:r>
      <w:r w:rsidRPr="00800423">
        <w:rPr>
          <w:b/>
          <w:color w:val="438086" w:themeColor="accent2"/>
          <w:szCs w:val="22"/>
        </w:rPr>
        <w:t>: Grado de aplicación de las recomendaciones derivadas de la evaluación 2020.</w:t>
      </w:r>
    </w:p>
    <w:p w:rsidR="0020242C" w:rsidRDefault="0015416B" w:rsidP="00077CDF">
      <w:pPr>
        <w:pStyle w:val="Ttulo2"/>
      </w:pPr>
      <w:bookmarkStart w:id="6" w:name="_Toc92897681"/>
      <w:bookmarkStart w:id="7" w:name="_Toc92897754"/>
      <w:r>
        <w:rPr>
          <w:noProof/>
        </w:rPr>
        <w:drawing>
          <wp:inline distT="0" distB="0" distL="0" distR="0" wp14:anchorId="53E89EDB" wp14:editId="41009781">
            <wp:extent cx="5829300" cy="264795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6"/>
      <w:bookmarkEnd w:id="7"/>
    </w:p>
    <w:p w:rsidR="00800423" w:rsidRDefault="00800423" w:rsidP="00077CDF">
      <w:pPr>
        <w:pStyle w:val="Ttulo2"/>
      </w:pPr>
    </w:p>
    <w:p w:rsidR="005F586A" w:rsidRDefault="000B5A54" w:rsidP="00077CDF">
      <w:pPr>
        <w:pStyle w:val="Ttulo2"/>
      </w:pPr>
      <w:bookmarkStart w:id="8" w:name="_Toc92897755"/>
      <w:r>
        <w:t>III.</w:t>
      </w:r>
      <w:r w:rsidR="0020242C">
        <w:t>2</w:t>
      </w:r>
      <w:r>
        <w:t xml:space="preserve"> </w:t>
      </w:r>
      <w:r w:rsidR="00513EC7">
        <w:t>Localización y estructuración de la información</w:t>
      </w:r>
      <w:bookmarkEnd w:id="8"/>
    </w:p>
    <w:p w:rsidR="00513EC7" w:rsidRDefault="00513EC7" w:rsidP="00513EC7"/>
    <w:p w:rsidR="00235A5B" w:rsidRDefault="0015416B" w:rsidP="00235A5B">
      <w:r>
        <w:t>La totalidad de las Comunidades y Ciudades Autónomas evaluadas</w:t>
      </w:r>
      <w:r w:rsidR="00235A5B">
        <w:t xml:space="preserve"> </w:t>
      </w:r>
      <w:r w:rsidR="00144DA6">
        <w:t>dispone de un</w:t>
      </w:r>
      <w:r w:rsidR="00235A5B">
        <w:t xml:space="preserve"> Portal de Transparencia</w:t>
      </w:r>
      <w:r w:rsidR="00144DA6">
        <w:t xml:space="preserve"> en su web institucional</w:t>
      </w:r>
      <w:r w:rsidR="00235A5B">
        <w:t>.</w:t>
      </w:r>
      <w:r w:rsidR="00144DA6">
        <w:t xml:space="preserve"> </w:t>
      </w:r>
      <w:r>
        <w:t>Un</w:t>
      </w:r>
      <w:r w:rsidR="00144DA6">
        <w:t xml:space="preserve"> </w:t>
      </w:r>
      <w:r>
        <w:t>87</w:t>
      </w:r>
      <w:r w:rsidR="0020242C">
        <w:t>,5% da</w:t>
      </w:r>
      <w:r w:rsidR="00144DA6">
        <w:t xml:space="preserve"> acceso a este Portal mediante un banner ubicado en un lugar visible de la página principal mientras que </w:t>
      </w:r>
      <w:r w:rsidR="00144DA6">
        <w:lastRenderedPageBreak/>
        <w:t xml:space="preserve">el </w:t>
      </w:r>
      <w:r>
        <w:t>12</w:t>
      </w:r>
      <w:r w:rsidR="0020242C">
        <w:t>,5% restante enlaza</w:t>
      </w:r>
      <w:r w:rsidR="00144DA6">
        <w:t xml:space="preserve"> a</w:t>
      </w:r>
      <w:r w:rsidR="004856CF">
        <w:t xml:space="preserve"> su</w:t>
      </w:r>
      <w:r w:rsidR="00144DA6">
        <w:t xml:space="preserve"> Portal a través de un link dependiente de alguno de los accesos princ</w:t>
      </w:r>
      <w:r w:rsidR="0020242C">
        <w:t xml:space="preserve">ipales de la página de inicio. </w:t>
      </w:r>
    </w:p>
    <w:p w:rsidR="00800423" w:rsidRDefault="00235A5B" w:rsidP="00235A5B">
      <w:r>
        <w:t>La información se estructura conforme a los bloques de obligaciones en materia de publicidad activa que establece la LTAIBG</w:t>
      </w:r>
      <w:r w:rsidR="00144DA6">
        <w:t xml:space="preserve"> </w:t>
      </w:r>
      <w:r w:rsidR="00567474">
        <w:t xml:space="preserve">o la norma autonómica </w:t>
      </w:r>
      <w:r w:rsidR="00144DA6">
        <w:t xml:space="preserve">en el </w:t>
      </w:r>
      <w:r w:rsidR="00567474">
        <w:t>62,5</w:t>
      </w:r>
      <w:r w:rsidR="00144DA6">
        <w:t xml:space="preserve">% de los casos. Un </w:t>
      </w:r>
      <w:r w:rsidR="00567474">
        <w:t>25</w:t>
      </w:r>
      <w:r w:rsidR="00144DA6">
        <w:t>% adicional presenta la información obligatoria organizada pero siguiendo un patrón diferente del establecido por la LTAIBG</w:t>
      </w:r>
      <w:r w:rsidR="00567474">
        <w:t xml:space="preserve"> o la norma autonómica</w:t>
      </w:r>
      <w:r w:rsidR="00144DA6">
        <w:t xml:space="preserve">. </w:t>
      </w:r>
      <w:r w:rsidR="00567474">
        <w:t xml:space="preserve">Sólo en </w:t>
      </w:r>
      <w:r w:rsidR="00007245">
        <w:t xml:space="preserve">uno </w:t>
      </w:r>
      <w:r w:rsidR="00144DA6">
        <w:t>de los casos la información está dispersa</w:t>
      </w:r>
      <w:r w:rsidR="00567474">
        <w:t xml:space="preserve"> sin que se observe un criterio de ordenación claro</w:t>
      </w:r>
      <w:r w:rsidR="00144DA6">
        <w:t xml:space="preserve">. </w:t>
      </w:r>
    </w:p>
    <w:p w:rsidR="00152FBA" w:rsidRDefault="003B4A88" w:rsidP="00235A5B">
      <w:r>
        <w:t>Un</w:t>
      </w:r>
      <w:r w:rsidR="00144DA6">
        <w:t xml:space="preserve"> </w:t>
      </w:r>
      <w:r>
        <w:t>37,5</w:t>
      </w:r>
      <w:r w:rsidR="00144DA6">
        <w:t>%</w:t>
      </w:r>
      <w:r>
        <w:t xml:space="preserve"> de las </w:t>
      </w:r>
      <w:r w:rsidR="00567474">
        <w:t>Comunidades y Ciudades Autónomas</w:t>
      </w:r>
      <w:r>
        <w:t xml:space="preserve"> </w:t>
      </w:r>
      <w:r w:rsidR="00144DA6">
        <w:t xml:space="preserve">publica </w:t>
      </w:r>
      <w:r w:rsidR="00152FBA">
        <w:t xml:space="preserve">informaciones sujetas a obligaciones de publicidad activa en otros apartados de </w:t>
      </w:r>
      <w:proofErr w:type="gramStart"/>
      <w:r w:rsidR="00152FBA">
        <w:t>su web institucional distintos</w:t>
      </w:r>
      <w:proofErr w:type="gramEnd"/>
      <w:r w:rsidR="00152FBA">
        <w:t xml:space="preserve"> del </w:t>
      </w:r>
      <w:r w:rsidR="004856CF">
        <w:t>P</w:t>
      </w:r>
      <w:r w:rsidR="00152FBA">
        <w:t>ortal de Transparencia.</w:t>
      </w:r>
    </w:p>
    <w:p w:rsidR="003C251C" w:rsidRDefault="003C251C" w:rsidP="00235A5B"/>
    <w:p w:rsidR="00513EC7" w:rsidRDefault="00984881" w:rsidP="00984881">
      <w:pPr>
        <w:pStyle w:val="Ttulo2"/>
      </w:pPr>
      <w:bookmarkStart w:id="9" w:name="_Toc92897756"/>
      <w:r>
        <w:t>III</w:t>
      </w:r>
      <w:r w:rsidR="000B5A54">
        <w:t>.</w:t>
      </w:r>
      <w:r w:rsidR="0020242C">
        <w:t>3</w:t>
      </w:r>
      <w:r w:rsidR="000B5A54">
        <w:t xml:space="preserve">. </w:t>
      </w:r>
      <w:r w:rsidR="00E924EF">
        <w:t>Cumplimiento de las o</w:t>
      </w:r>
      <w:r w:rsidR="00513EC7">
        <w:t>bligaciones de publicidad activa</w:t>
      </w:r>
      <w:bookmarkEnd w:id="9"/>
    </w:p>
    <w:p w:rsidR="00513EC7" w:rsidRDefault="00513EC7" w:rsidP="00513EC7"/>
    <w:p w:rsidR="00513EC7" w:rsidRDefault="000B5A54" w:rsidP="00984881">
      <w:pPr>
        <w:pStyle w:val="Ttulo3"/>
      </w:pPr>
      <w:bookmarkStart w:id="10" w:name="_Toc92897757"/>
      <w:r>
        <w:t>III.</w:t>
      </w:r>
      <w:r w:rsidR="0020242C">
        <w:t>3</w:t>
      </w:r>
      <w:r>
        <w:t>.</w:t>
      </w:r>
      <w:r w:rsidR="00077CDF">
        <w:t>1</w:t>
      </w:r>
      <w:r>
        <w:t xml:space="preserve">.  </w:t>
      </w:r>
      <w:r w:rsidR="00513EC7">
        <w:t>Información Institucional</w:t>
      </w:r>
      <w:r w:rsidR="003B4A88">
        <w:t xml:space="preserve"> y</w:t>
      </w:r>
      <w:r w:rsidR="00513EC7">
        <w:t xml:space="preserve"> Organizativa</w:t>
      </w:r>
      <w:r w:rsidR="003B4A88">
        <w:t>.</w:t>
      </w:r>
      <w:bookmarkEnd w:id="10"/>
    </w:p>
    <w:p w:rsidR="00513EC7" w:rsidRDefault="00513EC7" w:rsidP="00513EC7">
      <w:pPr>
        <w:pStyle w:val="Ttulo4"/>
        <w:rPr>
          <w:i w:val="0"/>
        </w:rPr>
      </w:pPr>
    </w:p>
    <w:p w:rsidR="00152FBA" w:rsidRDefault="00F23B80" w:rsidP="00152FBA">
      <w:r>
        <w:t>En promedio se publica</w:t>
      </w:r>
      <w:r w:rsidR="00984881">
        <w:t xml:space="preserve"> </w:t>
      </w:r>
      <w:r w:rsidR="00100FDC">
        <w:t xml:space="preserve">el </w:t>
      </w:r>
      <w:r w:rsidR="00567474">
        <w:t>85,6</w:t>
      </w:r>
      <w:r w:rsidR="00100FDC">
        <w:t>%</w:t>
      </w:r>
      <w:r>
        <w:t xml:space="preserve"> de las informaciones obligatorias</w:t>
      </w:r>
      <w:r w:rsidR="005C658E">
        <w:t xml:space="preserve"> de este bloque</w:t>
      </w:r>
      <w:r>
        <w:t xml:space="preserve">, con un rango de variación de entre el </w:t>
      </w:r>
      <w:r w:rsidR="00567474">
        <w:t>65</w:t>
      </w:r>
      <w:r>
        <w:t xml:space="preserve"> y el </w:t>
      </w:r>
      <w:r w:rsidR="00BB5FFF">
        <w:t>100</w:t>
      </w:r>
      <w:r>
        <w:t>%.</w:t>
      </w:r>
      <w:r w:rsidR="003B4A88">
        <w:t xml:space="preserve"> La proporción de contenidos publicados ha aumentado respecto de 2020, año en el que se publicó el </w:t>
      </w:r>
      <w:r w:rsidR="00567474">
        <w:t>81,8</w:t>
      </w:r>
      <w:r w:rsidR="003B4A88">
        <w:t xml:space="preserve">% de las informaciones obligatorias. </w:t>
      </w:r>
    </w:p>
    <w:p w:rsidR="00195B99" w:rsidRDefault="00F23B80" w:rsidP="00152FBA">
      <w:r>
        <w:t xml:space="preserve">El principal déficit de publicación de contenidos obligatorios se localiza </w:t>
      </w:r>
      <w:r w:rsidR="0051682D">
        <w:t>en la publicación de los</w:t>
      </w:r>
      <w:r w:rsidR="00567474">
        <w:t xml:space="preserve"> informes de seguimiento o evaluación de los planes y programas</w:t>
      </w:r>
      <w:r w:rsidR="002951E2">
        <w:t xml:space="preserve">: más del 56% no publica esta información. </w:t>
      </w:r>
      <w:r w:rsidR="00F20DF6">
        <w:t xml:space="preserve">En cuanto al Registro de Actividades de Tratamiento, </w:t>
      </w:r>
      <w:r w:rsidR="0051682D">
        <w:t>3</w:t>
      </w:r>
      <w:r w:rsidR="00BB55B0">
        <w:t xml:space="preserve"> de las </w:t>
      </w:r>
      <w:r w:rsidR="002951E2">
        <w:t>8</w:t>
      </w:r>
      <w:r w:rsidR="00BB55B0">
        <w:t xml:space="preserve"> </w:t>
      </w:r>
      <w:r w:rsidR="002951E2">
        <w:t>instituciones</w:t>
      </w:r>
      <w:r w:rsidR="00BB55B0">
        <w:t xml:space="preserve"> </w:t>
      </w:r>
      <w:r w:rsidR="0051682D">
        <w:t>evaluadas</w:t>
      </w:r>
      <w:r w:rsidR="00BB55B0">
        <w:t xml:space="preserve"> </w:t>
      </w:r>
      <w:r w:rsidR="00F245CD">
        <w:t xml:space="preserve">no lo publican o </w:t>
      </w:r>
      <w:r w:rsidR="005C658E">
        <w:t xml:space="preserve">bien la publicación </w:t>
      </w:r>
      <w:r w:rsidR="002951E2">
        <w:t>es parcial al limitarse a las actividades de tratamiento de parte de las Consejería que integran el gobierno autonómico.</w:t>
      </w:r>
    </w:p>
    <w:p w:rsidR="00F245CD" w:rsidRDefault="00F245CD" w:rsidP="00152FBA">
      <w:r>
        <w:t xml:space="preserve">Respecto del cumplimiento de los requisitos de calidad de la información que establece la LTAIBG, </w:t>
      </w:r>
      <w:r w:rsidR="003549D0">
        <w:t>el</w:t>
      </w:r>
      <w:r>
        <w:t xml:space="preserve"> principal déficit se localiza en la </w:t>
      </w:r>
      <w:r w:rsidR="00984881">
        <w:t>carencia</w:t>
      </w:r>
      <w:r>
        <w:t xml:space="preserve"> de referencias que permitan conocer si la inform</w:t>
      </w:r>
      <w:r w:rsidR="00841A00">
        <w:t xml:space="preserve">ación publicada está vigente. </w:t>
      </w:r>
      <w:r w:rsidR="003E4333">
        <w:t xml:space="preserve">Tan sólo un </w:t>
      </w:r>
      <w:r w:rsidR="002951E2">
        <w:t>60</w:t>
      </w:r>
      <w:r w:rsidR="003E4333">
        <w:t>%</w:t>
      </w:r>
      <w:r>
        <w:t xml:space="preserve"> de las informaciones de este bloque de obligaciones </w:t>
      </w:r>
      <w:r w:rsidR="008220D7">
        <w:t xml:space="preserve">contiene alguna </w:t>
      </w:r>
      <w:r w:rsidR="003E4333">
        <w:t>referencia</w:t>
      </w:r>
      <w:r w:rsidR="008220D7">
        <w:t xml:space="preserve"> </w:t>
      </w:r>
      <w:r w:rsidR="003C251C">
        <w:t>temporal</w:t>
      </w:r>
      <w:r w:rsidR="008220D7">
        <w:t>.</w:t>
      </w:r>
    </w:p>
    <w:p w:rsidR="00007245" w:rsidRDefault="00007245" w:rsidP="00152FBA"/>
    <w:p w:rsidR="00007245" w:rsidRDefault="00007245" w:rsidP="00152FBA"/>
    <w:p w:rsidR="00007245" w:rsidRDefault="00007245" w:rsidP="00152FBA"/>
    <w:p w:rsidR="00007245" w:rsidRDefault="00007245" w:rsidP="00152FBA"/>
    <w:p w:rsidR="00F23B80" w:rsidRPr="003F10D6" w:rsidRDefault="00F23B80" w:rsidP="005915F6">
      <w:pPr>
        <w:rPr>
          <w:b/>
          <w:color w:val="438086" w:themeColor="accent2"/>
          <w:szCs w:val="22"/>
        </w:rPr>
      </w:pPr>
      <w:r w:rsidRPr="003F10D6">
        <w:rPr>
          <w:b/>
          <w:color w:val="438086" w:themeColor="accent2"/>
          <w:szCs w:val="22"/>
        </w:rPr>
        <w:lastRenderedPageBreak/>
        <w:t xml:space="preserve">Gráfico </w:t>
      </w:r>
      <w:r w:rsidR="005915F6" w:rsidRPr="003F10D6">
        <w:rPr>
          <w:b/>
          <w:color w:val="438086" w:themeColor="accent2"/>
          <w:szCs w:val="22"/>
        </w:rPr>
        <w:fldChar w:fldCharType="begin"/>
      </w:r>
      <w:r w:rsidR="005915F6" w:rsidRPr="003F10D6">
        <w:rPr>
          <w:b/>
          <w:color w:val="438086" w:themeColor="accent2"/>
          <w:szCs w:val="22"/>
        </w:rPr>
        <w:instrText xml:space="preserve"> SEQ Gráfico \* ARABIC </w:instrText>
      </w:r>
      <w:r w:rsidR="005915F6" w:rsidRPr="003F10D6">
        <w:rPr>
          <w:b/>
          <w:color w:val="438086" w:themeColor="accent2"/>
          <w:szCs w:val="22"/>
        </w:rPr>
        <w:fldChar w:fldCharType="separate"/>
      </w:r>
      <w:r w:rsidR="0092477D">
        <w:rPr>
          <w:b/>
          <w:noProof/>
          <w:color w:val="438086" w:themeColor="accent2"/>
          <w:szCs w:val="22"/>
        </w:rPr>
        <w:t>2</w:t>
      </w:r>
      <w:r w:rsidR="005915F6" w:rsidRPr="003F10D6">
        <w:rPr>
          <w:b/>
          <w:color w:val="438086" w:themeColor="accent2"/>
          <w:szCs w:val="22"/>
        </w:rPr>
        <w:fldChar w:fldCharType="end"/>
      </w:r>
      <w:r w:rsidRPr="003F10D6">
        <w:rPr>
          <w:b/>
          <w:color w:val="438086" w:themeColor="accent2"/>
          <w:szCs w:val="22"/>
        </w:rPr>
        <w:t>:</w:t>
      </w:r>
      <w:r w:rsidR="00AA2D83" w:rsidRPr="003F10D6">
        <w:rPr>
          <w:b/>
          <w:color w:val="438086" w:themeColor="accent2"/>
          <w:szCs w:val="22"/>
        </w:rPr>
        <w:t xml:space="preserve"> Evaluación de la publicación (contenido) y de los atributos de calid</w:t>
      </w:r>
      <w:r w:rsidR="00250374">
        <w:rPr>
          <w:b/>
          <w:color w:val="438086" w:themeColor="accent2"/>
          <w:szCs w:val="22"/>
        </w:rPr>
        <w:t>ad de</w:t>
      </w:r>
      <w:r w:rsidR="0092477D">
        <w:rPr>
          <w:b/>
          <w:color w:val="438086" w:themeColor="accent2"/>
          <w:szCs w:val="22"/>
        </w:rPr>
        <w:t xml:space="preserve"> la</w:t>
      </w:r>
      <w:r w:rsidR="00250374">
        <w:rPr>
          <w:b/>
          <w:color w:val="438086" w:themeColor="accent2"/>
          <w:szCs w:val="22"/>
        </w:rPr>
        <w:t xml:space="preserve"> información Institucional,</w:t>
      </w:r>
      <w:r w:rsidR="00AA2D83" w:rsidRPr="003F10D6">
        <w:rPr>
          <w:b/>
          <w:color w:val="438086" w:themeColor="accent2"/>
          <w:szCs w:val="22"/>
        </w:rPr>
        <w:t xml:space="preserve"> </w:t>
      </w:r>
      <w:r w:rsidR="003F10D6">
        <w:rPr>
          <w:b/>
          <w:color w:val="438086" w:themeColor="accent2"/>
          <w:szCs w:val="22"/>
        </w:rPr>
        <w:t>Organizativa</w:t>
      </w:r>
      <w:r w:rsidR="00E334D1">
        <w:rPr>
          <w:b/>
          <w:color w:val="438086" w:themeColor="accent2"/>
          <w:szCs w:val="22"/>
        </w:rPr>
        <w:t>, de Planificación</w:t>
      </w:r>
      <w:r w:rsidR="003F10D6">
        <w:rPr>
          <w:b/>
          <w:color w:val="438086" w:themeColor="accent2"/>
          <w:szCs w:val="22"/>
        </w:rPr>
        <w:t xml:space="preserve"> y Registro de Actividades de Tratamiento.</w:t>
      </w:r>
      <w:r w:rsidR="00550FCC">
        <w:rPr>
          <w:b/>
          <w:color w:val="438086" w:themeColor="accent2"/>
          <w:szCs w:val="22"/>
        </w:rPr>
        <w:t xml:space="preserve"> </w:t>
      </w:r>
    </w:p>
    <w:p w:rsidR="00F23B80" w:rsidRDefault="002951E2" w:rsidP="00506B31">
      <w:r>
        <w:rPr>
          <w:noProof/>
        </w:rPr>
        <w:drawing>
          <wp:inline distT="0" distB="0" distL="0" distR="0" wp14:anchorId="4A30381B" wp14:editId="36E54A03">
            <wp:extent cx="5760085" cy="2795611"/>
            <wp:effectExtent l="0" t="0" r="12065" b="2413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49D0" w:rsidRDefault="003549D0" w:rsidP="003549D0">
      <w:r>
        <w:t xml:space="preserve">El grado de cumplimiento medio de este bloque de obligaciones es del </w:t>
      </w:r>
      <w:r w:rsidR="002951E2">
        <w:t>81,5</w:t>
      </w:r>
      <w:r>
        <w:t>% con un rango de variación que oscila entre</w:t>
      </w:r>
      <w:r w:rsidR="002951E2">
        <w:t>,</w:t>
      </w:r>
      <w:r>
        <w:t xml:space="preserve"> el </w:t>
      </w:r>
      <w:r w:rsidR="002951E2">
        <w:t>60</w:t>
      </w:r>
      <w:r>
        <w:t xml:space="preserve"> y el </w:t>
      </w:r>
      <w:r w:rsidR="002951E2">
        <w:t>96</w:t>
      </w:r>
      <w:r>
        <w:t>%.</w:t>
      </w:r>
      <w:r w:rsidR="00E334D1">
        <w:t xml:space="preserve"> </w:t>
      </w:r>
      <w:r w:rsidR="002951E2">
        <w:t>Respecto de 2020</w:t>
      </w:r>
      <w:r w:rsidR="00E334D1">
        <w:t>,</w:t>
      </w:r>
      <w:r w:rsidR="002951E2">
        <w:t xml:space="preserve"> el Índice de cumplimiento se ha incrementado en 8,8 puntos porcentuales.</w:t>
      </w:r>
    </w:p>
    <w:p w:rsidR="0092477D" w:rsidRDefault="0092477D" w:rsidP="002951E2">
      <w:pPr>
        <w:pStyle w:val="Ttulo3"/>
      </w:pPr>
      <w:bookmarkStart w:id="11" w:name="_Toc81309665"/>
    </w:p>
    <w:p w:rsidR="002951E2" w:rsidRDefault="002951E2" w:rsidP="002951E2">
      <w:pPr>
        <w:pStyle w:val="Ttulo3"/>
      </w:pPr>
      <w:bookmarkStart w:id="12" w:name="_Toc92897758"/>
      <w:r>
        <w:t>III.3.2. Información de Relevancia Jurídica</w:t>
      </w:r>
      <w:bookmarkEnd w:id="11"/>
      <w:bookmarkEnd w:id="12"/>
    </w:p>
    <w:p w:rsidR="002951E2" w:rsidRDefault="002951E2" w:rsidP="002951E2"/>
    <w:p w:rsidR="00B23156" w:rsidRDefault="0067615D" w:rsidP="002951E2">
      <w:r>
        <w:t xml:space="preserve">Todas las Comunidades y Ciudades Autónomas </w:t>
      </w:r>
      <w:r w:rsidR="002951E2">
        <w:t>evaluad</w:t>
      </w:r>
      <w:r>
        <w:t xml:space="preserve">as </w:t>
      </w:r>
      <w:r w:rsidR="00B23156">
        <w:t>publica</w:t>
      </w:r>
      <w:r w:rsidR="00E334D1">
        <w:t>n</w:t>
      </w:r>
      <w:r w:rsidR="00B23156">
        <w:t xml:space="preserve"> información, aunque no en todos los casos esta información está completa. De hecho solo 5 de las 8 instituciones publican contenidos correspondientes a la totalidad de informaciones contempladas en este bloque de obligaciones. La proporción de contenidos obligatorios publicados se sitúa en el 85,6% con un rango de variación que oscila entre el 33 y el 100%.</w:t>
      </w:r>
      <w:r w:rsidR="002951E2">
        <w:t xml:space="preserve"> </w:t>
      </w:r>
    </w:p>
    <w:p w:rsidR="002951E2" w:rsidRDefault="002951E2" w:rsidP="002951E2">
      <w:r>
        <w:t xml:space="preserve">De nuevo la falta de referencias a la fecha en que se revisó o actualizó la información publicada es el aspecto que presenta una menor valoración  desde el punto de vista de la calidad de la información. </w:t>
      </w:r>
    </w:p>
    <w:p w:rsidR="002951E2" w:rsidRDefault="002951E2" w:rsidP="002951E2">
      <w:pPr>
        <w:rPr>
          <w:color w:val="438086" w:themeColor="accent2"/>
          <w:szCs w:val="22"/>
        </w:rPr>
      </w:pPr>
      <w:r>
        <w:t xml:space="preserve">El Índice de cumplimiento de este bloque de obligaciones se sitúa en el </w:t>
      </w:r>
      <w:r w:rsidR="00B23156">
        <w:t>83,2</w:t>
      </w:r>
      <w:r>
        <w:t xml:space="preserve">% con un rango de variación que oscila entre </w:t>
      </w:r>
      <w:r w:rsidR="00B23156">
        <w:t>32,1</w:t>
      </w:r>
      <w:r>
        <w:t xml:space="preserve"> y 100%.</w:t>
      </w:r>
      <w:r w:rsidR="00E334D1">
        <w:t xml:space="preserve"> Respecto de 2020 el índice de cumplimiento ha aumentado en más de 10 puntos porcentuales.</w:t>
      </w:r>
    </w:p>
    <w:p w:rsidR="0092477D" w:rsidRDefault="0092477D" w:rsidP="0092477D">
      <w:pPr>
        <w:rPr>
          <w:b/>
          <w:color w:val="438086" w:themeColor="accent2"/>
          <w:szCs w:val="22"/>
        </w:rPr>
      </w:pPr>
    </w:p>
    <w:p w:rsidR="0092477D" w:rsidRDefault="0092477D" w:rsidP="0092477D">
      <w:pPr>
        <w:rPr>
          <w:b/>
          <w:color w:val="438086" w:themeColor="accent2"/>
          <w:szCs w:val="22"/>
        </w:rPr>
      </w:pPr>
    </w:p>
    <w:p w:rsidR="0092477D" w:rsidRPr="003F10D6" w:rsidRDefault="0092477D" w:rsidP="0092477D">
      <w:pPr>
        <w:rPr>
          <w:b/>
          <w:color w:val="438086" w:themeColor="accent2"/>
          <w:szCs w:val="22"/>
        </w:rPr>
      </w:pPr>
      <w:r w:rsidRPr="003F10D6">
        <w:rPr>
          <w:b/>
          <w:color w:val="438086" w:themeColor="accent2"/>
          <w:szCs w:val="22"/>
        </w:rPr>
        <w:lastRenderedPageBreak/>
        <w:t xml:space="preserve">Gráfico </w:t>
      </w:r>
      <w:r w:rsidRPr="003F10D6">
        <w:rPr>
          <w:b/>
          <w:color w:val="438086" w:themeColor="accent2"/>
          <w:szCs w:val="22"/>
        </w:rPr>
        <w:fldChar w:fldCharType="begin"/>
      </w:r>
      <w:r w:rsidRPr="003F10D6">
        <w:rPr>
          <w:b/>
          <w:color w:val="438086" w:themeColor="accent2"/>
          <w:szCs w:val="22"/>
        </w:rPr>
        <w:instrText xml:space="preserve"> SEQ Gráfico \* ARABIC </w:instrText>
      </w:r>
      <w:r w:rsidRPr="003F10D6">
        <w:rPr>
          <w:b/>
          <w:color w:val="438086" w:themeColor="accent2"/>
          <w:szCs w:val="22"/>
        </w:rPr>
        <w:fldChar w:fldCharType="separate"/>
      </w:r>
      <w:r>
        <w:rPr>
          <w:b/>
          <w:noProof/>
          <w:color w:val="438086" w:themeColor="accent2"/>
          <w:szCs w:val="22"/>
        </w:rPr>
        <w:t>3</w:t>
      </w:r>
      <w:r w:rsidRPr="003F10D6">
        <w:rPr>
          <w:b/>
          <w:color w:val="438086" w:themeColor="accent2"/>
          <w:szCs w:val="22"/>
        </w:rPr>
        <w:fldChar w:fldCharType="end"/>
      </w:r>
      <w:r w:rsidRPr="003F10D6">
        <w:rPr>
          <w:b/>
          <w:color w:val="438086" w:themeColor="accent2"/>
          <w:szCs w:val="22"/>
        </w:rPr>
        <w:t>: Evaluación de la publicación (contenido) y de los atributos de calid</w:t>
      </w:r>
      <w:r>
        <w:rPr>
          <w:b/>
          <w:color w:val="438086" w:themeColor="accent2"/>
          <w:szCs w:val="22"/>
        </w:rPr>
        <w:t xml:space="preserve">ad de la información de Relevancia Jurídica. </w:t>
      </w:r>
    </w:p>
    <w:p w:rsidR="00DE2201" w:rsidRDefault="0092477D" w:rsidP="00AF02EB">
      <w:pPr>
        <w:pStyle w:val="Ttulo3"/>
      </w:pPr>
      <w:bookmarkStart w:id="13" w:name="_Toc92897686"/>
      <w:bookmarkStart w:id="14" w:name="_Toc92897759"/>
      <w:r>
        <w:rPr>
          <w:noProof/>
        </w:rPr>
        <w:drawing>
          <wp:inline distT="0" distB="0" distL="0" distR="0" wp14:anchorId="39957ED4" wp14:editId="2FC71C89">
            <wp:extent cx="5981700" cy="2790825"/>
            <wp:effectExtent l="0" t="0" r="1905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3"/>
      <w:bookmarkEnd w:id="14"/>
    </w:p>
    <w:p w:rsidR="00DE2201" w:rsidRDefault="00DE2201" w:rsidP="00AF02EB">
      <w:pPr>
        <w:pStyle w:val="Ttulo3"/>
      </w:pPr>
    </w:p>
    <w:p w:rsidR="00513EC7" w:rsidRDefault="00F23BD7" w:rsidP="00AF02EB">
      <w:pPr>
        <w:pStyle w:val="Ttulo3"/>
      </w:pPr>
      <w:bookmarkStart w:id="15" w:name="_Toc92897760"/>
      <w:r>
        <w:t>III.</w:t>
      </w:r>
      <w:r w:rsidR="0020242C">
        <w:t>3</w:t>
      </w:r>
      <w:r>
        <w:t>.</w:t>
      </w:r>
      <w:r w:rsidR="002951E2">
        <w:t>3</w:t>
      </w:r>
      <w:r>
        <w:t xml:space="preserve">.  </w:t>
      </w:r>
      <w:r w:rsidR="00513EC7">
        <w:t>Información Económic</w:t>
      </w:r>
      <w:r w:rsidR="00934E69">
        <w:t>a, Presupuestaria y Estadística</w:t>
      </w:r>
      <w:bookmarkEnd w:id="15"/>
    </w:p>
    <w:p w:rsidR="00513EC7" w:rsidRDefault="00513EC7" w:rsidP="00513EC7"/>
    <w:p w:rsidR="001777ED" w:rsidRDefault="00DF7C00" w:rsidP="00513EC7">
      <w:r>
        <w:t xml:space="preserve">La proporción de informaciones obligatorias publicadas en este grupo </w:t>
      </w:r>
      <w:r w:rsidR="0092477D">
        <w:t>se sitúa</w:t>
      </w:r>
      <w:r>
        <w:t xml:space="preserve"> </w:t>
      </w:r>
      <w:r w:rsidR="0092477D">
        <w:t xml:space="preserve">en el 86,5% </w:t>
      </w:r>
      <w:r w:rsidR="00E1322B">
        <w:t>en promedio</w:t>
      </w:r>
      <w:r w:rsidR="00463BE8">
        <w:t>,</w:t>
      </w:r>
      <w:r w:rsidR="00E1322B">
        <w:t xml:space="preserve"> con un rango de variación de entre el </w:t>
      </w:r>
      <w:r w:rsidR="00394BE2">
        <w:t>72,7</w:t>
      </w:r>
      <w:r w:rsidR="00E1322B">
        <w:t xml:space="preserve"> y el </w:t>
      </w:r>
      <w:r w:rsidR="00191366">
        <w:t>100</w:t>
      </w:r>
      <w:r w:rsidR="00E1322B">
        <w:t>%.</w:t>
      </w:r>
      <w:r w:rsidR="001777ED">
        <w:t xml:space="preserve"> </w:t>
      </w:r>
      <w:r w:rsidR="001777ED" w:rsidRPr="001777ED">
        <w:t>Respecto de 2020, la proporción de contenidos publicados aumenta en 3,9 puntos porcentuales.</w:t>
      </w:r>
    </w:p>
    <w:p w:rsidR="001777ED" w:rsidRDefault="001777ED" w:rsidP="00513EC7">
      <w:r>
        <w:t>Los contenidos que presentan un menor nivel de publicación son los relativos a las indemnizaciones percibidas con ocasión del abandono del cargo – sólo publica información un 33,3% de las instituciones a las que es aplicable esta obligación – y los datos estadísticos sobre contratación que publica solamente un 37,5% de las instituciones evaluadas.</w:t>
      </w:r>
    </w:p>
    <w:p w:rsidR="00D001DB" w:rsidRDefault="00D001DB" w:rsidP="00D001DB">
      <w:r>
        <w:t xml:space="preserve">El índice medio de cumplimiento de este bloque de obligaciones es del </w:t>
      </w:r>
      <w:r w:rsidR="001777ED">
        <w:t>79,4</w:t>
      </w:r>
      <w:r>
        <w:t xml:space="preserve">%, con un rango que oscila entre el </w:t>
      </w:r>
      <w:r w:rsidR="001777ED" w:rsidRPr="001777ED">
        <w:t>59,8</w:t>
      </w:r>
      <w:r w:rsidR="001777ED">
        <w:t xml:space="preserve"> </w:t>
      </w:r>
      <w:r>
        <w:t xml:space="preserve">y el </w:t>
      </w:r>
      <w:r w:rsidR="001777ED">
        <w:t>96</w:t>
      </w:r>
      <w:r>
        <w:t>%.</w:t>
      </w:r>
      <w:r w:rsidR="001777ED">
        <w:t xml:space="preserve"> Respecto de 2020 el Índice de Cumplimiento de este bloque de obligaciones ha aumentado en 4,6 puntos porcentuales.</w:t>
      </w:r>
    </w:p>
    <w:p w:rsidR="00D631CC" w:rsidRPr="009E5841" w:rsidRDefault="00D631CC" w:rsidP="00D631CC">
      <w:pPr>
        <w:pStyle w:val="Epgrafe"/>
        <w:keepNext/>
        <w:rPr>
          <w:color w:val="438086" w:themeColor="accent2"/>
          <w:sz w:val="22"/>
          <w:szCs w:val="22"/>
        </w:rPr>
      </w:pPr>
      <w:r w:rsidRPr="009E5841">
        <w:rPr>
          <w:color w:val="438086" w:themeColor="accent2"/>
          <w:sz w:val="22"/>
          <w:szCs w:val="22"/>
        </w:rPr>
        <w:lastRenderedPageBreak/>
        <w:t xml:space="preserve">Gráfico </w:t>
      </w:r>
      <w:r w:rsidR="005915F6" w:rsidRPr="009E5841">
        <w:rPr>
          <w:color w:val="438086" w:themeColor="accent2"/>
          <w:sz w:val="22"/>
          <w:szCs w:val="22"/>
        </w:rPr>
        <w:fldChar w:fldCharType="begin"/>
      </w:r>
      <w:r w:rsidR="005915F6" w:rsidRPr="009E5841">
        <w:rPr>
          <w:color w:val="438086" w:themeColor="accent2"/>
          <w:sz w:val="22"/>
          <w:szCs w:val="22"/>
        </w:rPr>
        <w:instrText xml:space="preserve"> SEQ Gráfico \* ARABIC </w:instrText>
      </w:r>
      <w:r w:rsidR="005915F6" w:rsidRPr="009E5841">
        <w:rPr>
          <w:color w:val="438086" w:themeColor="accent2"/>
          <w:sz w:val="22"/>
          <w:szCs w:val="22"/>
        </w:rPr>
        <w:fldChar w:fldCharType="separate"/>
      </w:r>
      <w:r w:rsidR="001777ED">
        <w:rPr>
          <w:noProof/>
          <w:color w:val="438086" w:themeColor="accent2"/>
          <w:sz w:val="22"/>
          <w:szCs w:val="22"/>
        </w:rPr>
        <w:t>4</w:t>
      </w:r>
      <w:r w:rsidR="005915F6" w:rsidRPr="009E5841">
        <w:rPr>
          <w:color w:val="438086" w:themeColor="accent2"/>
          <w:sz w:val="22"/>
          <w:szCs w:val="22"/>
        </w:rPr>
        <w:fldChar w:fldCharType="end"/>
      </w:r>
      <w:r w:rsidRPr="009E5841">
        <w:rPr>
          <w:color w:val="438086" w:themeColor="accent2"/>
          <w:sz w:val="22"/>
          <w:szCs w:val="22"/>
        </w:rPr>
        <w:t xml:space="preserve">: Evaluación de la publicación (contenido) y de los atributos de calidad de </w:t>
      </w:r>
      <w:r w:rsidR="009073B4">
        <w:rPr>
          <w:color w:val="438086" w:themeColor="accent2"/>
          <w:sz w:val="22"/>
          <w:szCs w:val="22"/>
        </w:rPr>
        <w:t>I</w:t>
      </w:r>
      <w:r w:rsidRPr="009E5841">
        <w:rPr>
          <w:color w:val="438086" w:themeColor="accent2"/>
          <w:sz w:val="22"/>
          <w:szCs w:val="22"/>
        </w:rPr>
        <w:t>nformación Económica</w:t>
      </w:r>
      <w:r w:rsidR="001777ED">
        <w:rPr>
          <w:color w:val="438086" w:themeColor="accent2"/>
          <w:sz w:val="22"/>
          <w:szCs w:val="22"/>
        </w:rPr>
        <w:t>, Presupuestaria y Estadística</w:t>
      </w:r>
      <w:r w:rsidRPr="009E5841">
        <w:rPr>
          <w:color w:val="438086" w:themeColor="accent2"/>
          <w:sz w:val="22"/>
          <w:szCs w:val="22"/>
        </w:rPr>
        <w:t>.</w:t>
      </w:r>
      <w:r w:rsidR="00550FCC" w:rsidRPr="009E5841">
        <w:rPr>
          <w:sz w:val="22"/>
          <w:szCs w:val="22"/>
        </w:rPr>
        <w:t xml:space="preserve"> </w:t>
      </w:r>
    </w:p>
    <w:p w:rsidR="00CB65E7" w:rsidRDefault="001777ED" w:rsidP="00841A00">
      <w:r>
        <w:rPr>
          <w:noProof/>
        </w:rPr>
        <w:drawing>
          <wp:inline distT="0" distB="0" distL="0" distR="0" wp14:anchorId="5F1207B6" wp14:editId="1A74ED65">
            <wp:extent cx="5867400" cy="2952750"/>
            <wp:effectExtent l="0" t="0" r="19050"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1CC" w:rsidRDefault="00D631CC" w:rsidP="00D631CC">
      <w:pPr>
        <w:pStyle w:val="Ttulo4"/>
      </w:pPr>
    </w:p>
    <w:p w:rsidR="00D001DB" w:rsidRDefault="001777ED" w:rsidP="001777ED">
      <w:r>
        <w:t>En este caso y respecto de la calidad de la información publicada el factor que más influye en el nivel de cumplimiento alcanzado es el recurso a fuentes centralizadas para la publicación de var</w:t>
      </w:r>
      <w:r w:rsidR="00E334D1">
        <w:t>i</w:t>
      </w:r>
      <w:r>
        <w:t>as informaciones de este bloque de obligaciones.</w:t>
      </w:r>
    </w:p>
    <w:p w:rsidR="00E334D1" w:rsidRDefault="00E334D1" w:rsidP="001777ED"/>
    <w:p w:rsidR="00042372" w:rsidRDefault="00042372" w:rsidP="00042372">
      <w:pPr>
        <w:pStyle w:val="Ttulo3"/>
      </w:pPr>
      <w:bookmarkStart w:id="16" w:name="_Toc92897761"/>
      <w:r w:rsidRPr="00042372">
        <w:t xml:space="preserve">III.3.4. </w:t>
      </w:r>
      <w:r>
        <w:t>Información Patrimonial.</w:t>
      </w:r>
      <w:bookmarkEnd w:id="16"/>
    </w:p>
    <w:p w:rsidR="00042372" w:rsidRDefault="00042372" w:rsidP="00042372"/>
    <w:p w:rsidR="00E2112B" w:rsidRDefault="00240039" w:rsidP="00E2112B">
      <w:r>
        <w:t>Una cuarta parte</w:t>
      </w:r>
      <w:r w:rsidR="00E2112B">
        <w:t xml:space="preserve"> de las </w:t>
      </w:r>
      <w:r>
        <w:t>instituciones evaluadas</w:t>
      </w:r>
      <w:r w:rsidR="00E2112B">
        <w:t xml:space="preserve"> </w:t>
      </w:r>
      <w:r>
        <w:t xml:space="preserve">no </w:t>
      </w:r>
      <w:r w:rsidR="00E2112B">
        <w:t xml:space="preserve">publica información sobre sus bienes patrimoniales. Nuevamente la falta de referencias a  la última fecha en que se revisó o actualizó la información es el principal déficit que presenta este bloque de obligaciones. El índice de cumplimiento global se sitúa en el  </w:t>
      </w:r>
      <w:r>
        <w:t>79,4</w:t>
      </w:r>
      <w:r w:rsidR="00E2112B">
        <w:t>%, con una variabilidad de entre el 0 y el 100%.</w:t>
      </w:r>
      <w:r w:rsidR="00E334D1">
        <w:t xml:space="preserve"> Respecto de2020 se ha incrementado en más de 9 puntos porcentuales.</w:t>
      </w:r>
    </w:p>
    <w:p w:rsidR="00240039" w:rsidRDefault="00240039" w:rsidP="00240039">
      <w:pPr>
        <w:pStyle w:val="Epgrafe"/>
        <w:keepNext/>
        <w:rPr>
          <w:color w:val="438086" w:themeColor="accent2"/>
          <w:sz w:val="22"/>
          <w:szCs w:val="22"/>
        </w:rPr>
      </w:pPr>
    </w:p>
    <w:p w:rsidR="00240039" w:rsidRDefault="00240039" w:rsidP="00240039"/>
    <w:p w:rsidR="00240039" w:rsidRDefault="00240039" w:rsidP="00240039"/>
    <w:p w:rsidR="00240039" w:rsidRDefault="00240039" w:rsidP="00240039"/>
    <w:p w:rsidR="00240039" w:rsidRPr="00240039" w:rsidRDefault="00240039" w:rsidP="00240039"/>
    <w:p w:rsidR="00240039" w:rsidRPr="009E5841" w:rsidRDefault="00240039" w:rsidP="00240039">
      <w:pPr>
        <w:pStyle w:val="Epgrafe"/>
        <w:keepNext/>
        <w:rPr>
          <w:color w:val="438086" w:themeColor="accent2"/>
          <w:sz w:val="22"/>
          <w:szCs w:val="22"/>
        </w:rPr>
      </w:pPr>
      <w:r w:rsidRPr="009E5841">
        <w:rPr>
          <w:color w:val="438086" w:themeColor="accent2"/>
          <w:sz w:val="22"/>
          <w:szCs w:val="22"/>
        </w:rPr>
        <w:lastRenderedPageBreak/>
        <w:t xml:space="preserve">Gráfico </w:t>
      </w:r>
      <w:r w:rsidRPr="009E5841">
        <w:rPr>
          <w:color w:val="438086" w:themeColor="accent2"/>
          <w:sz w:val="22"/>
          <w:szCs w:val="22"/>
        </w:rPr>
        <w:fldChar w:fldCharType="begin"/>
      </w:r>
      <w:r w:rsidRPr="009E5841">
        <w:rPr>
          <w:color w:val="438086" w:themeColor="accent2"/>
          <w:sz w:val="22"/>
          <w:szCs w:val="22"/>
        </w:rPr>
        <w:instrText xml:space="preserve"> SEQ Gráfico \* ARABIC </w:instrText>
      </w:r>
      <w:r w:rsidRPr="009E5841">
        <w:rPr>
          <w:color w:val="438086" w:themeColor="accent2"/>
          <w:sz w:val="22"/>
          <w:szCs w:val="22"/>
        </w:rPr>
        <w:fldChar w:fldCharType="separate"/>
      </w:r>
      <w:r>
        <w:rPr>
          <w:noProof/>
          <w:color w:val="438086" w:themeColor="accent2"/>
          <w:sz w:val="22"/>
          <w:szCs w:val="22"/>
        </w:rPr>
        <w:t>5</w:t>
      </w:r>
      <w:r w:rsidRPr="009E5841">
        <w:rPr>
          <w:color w:val="438086" w:themeColor="accent2"/>
          <w:sz w:val="22"/>
          <w:szCs w:val="22"/>
        </w:rPr>
        <w:fldChar w:fldCharType="end"/>
      </w:r>
      <w:r w:rsidRPr="009E5841">
        <w:rPr>
          <w:color w:val="438086" w:themeColor="accent2"/>
          <w:sz w:val="22"/>
          <w:szCs w:val="22"/>
        </w:rPr>
        <w:t xml:space="preserve">: Evaluación de la publicación (contenido) y de los atributos de calidad de </w:t>
      </w:r>
      <w:r>
        <w:rPr>
          <w:color w:val="438086" w:themeColor="accent2"/>
          <w:sz w:val="22"/>
          <w:szCs w:val="22"/>
        </w:rPr>
        <w:t>I</w:t>
      </w:r>
      <w:r w:rsidRPr="009E5841">
        <w:rPr>
          <w:color w:val="438086" w:themeColor="accent2"/>
          <w:sz w:val="22"/>
          <w:szCs w:val="22"/>
        </w:rPr>
        <w:t xml:space="preserve">nformación </w:t>
      </w:r>
      <w:r>
        <w:rPr>
          <w:color w:val="438086" w:themeColor="accent2"/>
          <w:sz w:val="22"/>
          <w:szCs w:val="22"/>
        </w:rPr>
        <w:t>Patrimonial</w:t>
      </w:r>
      <w:r w:rsidRPr="009E5841">
        <w:rPr>
          <w:color w:val="438086" w:themeColor="accent2"/>
          <w:sz w:val="22"/>
          <w:szCs w:val="22"/>
        </w:rPr>
        <w:t>.</w:t>
      </w:r>
      <w:r w:rsidRPr="009E5841">
        <w:rPr>
          <w:sz w:val="22"/>
          <w:szCs w:val="22"/>
        </w:rPr>
        <w:t xml:space="preserve"> </w:t>
      </w:r>
    </w:p>
    <w:p w:rsidR="00E2112B" w:rsidRPr="00042372" w:rsidRDefault="00240039" w:rsidP="00042372">
      <w:r>
        <w:rPr>
          <w:noProof/>
        </w:rPr>
        <w:drawing>
          <wp:inline distT="0" distB="0" distL="0" distR="0" wp14:anchorId="4653C0AD" wp14:editId="03D2BA41">
            <wp:extent cx="5219700" cy="3028950"/>
            <wp:effectExtent l="0" t="0" r="1905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234D9" w:rsidRDefault="008234D9" w:rsidP="00AF02EB">
      <w:pPr>
        <w:pStyle w:val="Ttulo3"/>
      </w:pPr>
    </w:p>
    <w:p w:rsidR="00513EC7" w:rsidRDefault="00F23BD7" w:rsidP="00513EC7">
      <w:pPr>
        <w:pStyle w:val="Ttulo3"/>
      </w:pPr>
      <w:bookmarkStart w:id="17" w:name="_Toc92897762"/>
      <w:r>
        <w:t>III.</w:t>
      </w:r>
      <w:r w:rsidR="0020242C">
        <w:t>3</w:t>
      </w:r>
      <w:r>
        <w:t>.</w:t>
      </w:r>
      <w:r w:rsidR="00042372">
        <w:t>5</w:t>
      </w:r>
      <w:r>
        <w:t xml:space="preserve">. </w:t>
      </w:r>
      <w:r w:rsidR="00513EC7">
        <w:t>Índice de Cumplimiento de la Información Obligatoria</w:t>
      </w:r>
      <w:r w:rsidR="00520912">
        <w:t xml:space="preserve"> (ICIO)</w:t>
      </w:r>
      <w:bookmarkEnd w:id="17"/>
    </w:p>
    <w:p w:rsidR="00513EC7" w:rsidRDefault="00513EC7" w:rsidP="00513EC7"/>
    <w:p w:rsidR="00520912" w:rsidRDefault="00520912" w:rsidP="00513EC7">
      <w:r>
        <w:t xml:space="preserve">El ICIO </w:t>
      </w:r>
      <w:r w:rsidR="0052794A">
        <w:t>de</w:t>
      </w:r>
      <w:r>
        <w:t xml:space="preserve"> este grupo de sujetos obligados </w:t>
      </w:r>
      <w:r w:rsidR="0052794A">
        <w:t xml:space="preserve">alcanza </w:t>
      </w:r>
      <w:r w:rsidR="00FF5F43">
        <w:t xml:space="preserve">un </w:t>
      </w:r>
      <w:r w:rsidR="001777ED">
        <w:t>80,3</w:t>
      </w:r>
      <w:r w:rsidR="009E5841">
        <w:t>%</w:t>
      </w:r>
      <w:r w:rsidR="00FF5F43">
        <w:t xml:space="preserve"> de cumplimiento.</w:t>
      </w:r>
      <w:r w:rsidR="007009D5">
        <w:t xml:space="preserve"> El rango de variación oscila entre el </w:t>
      </w:r>
      <w:r w:rsidR="001777ED">
        <w:t>59,5</w:t>
      </w:r>
      <w:r w:rsidR="007009D5">
        <w:t xml:space="preserve"> y el </w:t>
      </w:r>
      <w:r w:rsidR="001777ED">
        <w:t>94</w:t>
      </w:r>
      <w:r w:rsidR="007009D5">
        <w:t>%.</w:t>
      </w:r>
    </w:p>
    <w:p w:rsidR="00FF5F43" w:rsidRDefault="00FF5F43" w:rsidP="00513EC7">
      <w:r>
        <w:t xml:space="preserve">La falta de publicación de informaciones obligatorias – no se publica </w:t>
      </w:r>
      <w:r w:rsidR="007009D5">
        <w:t xml:space="preserve">el </w:t>
      </w:r>
      <w:r w:rsidR="001777ED">
        <w:t>14,3</w:t>
      </w:r>
      <w:r>
        <w:t>%</w:t>
      </w:r>
      <w:r w:rsidR="003F10D6">
        <w:t xml:space="preserve"> de ellas</w:t>
      </w:r>
      <w:r>
        <w:t xml:space="preserve"> </w:t>
      </w:r>
      <w:r w:rsidR="001777ED">
        <w:t>–</w:t>
      </w:r>
      <w:r w:rsidR="00E334D1">
        <w:t>,</w:t>
      </w:r>
      <w:r w:rsidR="001777ED">
        <w:t xml:space="preserve"> el </w:t>
      </w:r>
      <w:r w:rsidR="00042372">
        <w:t xml:space="preserve">uso de fuentes centralizadas para la publicación de algunas informaciones del bloque información Económica, Presupuestaria y Estadística </w:t>
      </w:r>
      <w:r>
        <w:t xml:space="preserve"> y la carencia de referencias que permitan conocer a los usuarios el grado de actualización de la información publicada, son los factores que explican el</w:t>
      </w:r>
      <w:r w:rsidR="005F0168">
        <w:t xml:space="preserve"> </w:t>
      </w:r>
      <w:r>
        <w:t>nivel de cumplimiento global alcanzado.</w:t>
      </w:r>
    </w:p>
    <w:p w:rsidR="00513EC7" w:rsidRDefault="005915F6" w:rsidP="0052794A">
      <w:pPr>
        <w:pStyle w:val="Epgrafe"/>
        <w:keepNext/>
      </w:pPr>
      <w:r w:rsidRPr="002136D7">
        <w:rPr>
          <w:color w:val="438086" w:themeColor="accent2"/>
          <w:sz w:val="22"/>
          <w:szCs w:val="22"/>
        </w:rPr>
        <w:lastRenderedPageBreak/>
        <w:t xml:space="preserve">Gráfico </w:t>
      </w:r>
      <w:r w:rsidRPr="002136D7">
        <w:rPr>
          <w:color w:val="438086" w:themeColor="accent2"/>
          <w:sz w:val="22"/>
          <w:szCs w:val="22"/>
        </w:rPr>
        <w:fldChar w:fldCharType="begin"/>
      </w:r>
      <w:r w:rsidRPr="002136D7">
        <w:rPr>
          <w:color w:val="438086" w:themeColor="accent2"/>
          <w:sz w:val="22"/>
          <w:szCs w:val="22"/>
        </w:rPr>
        <w:instrText xml:space="preserve"> SEQ Gráfico \* ARABIC </w:instrText>
      </w:r>
      <w:r w:rsidRPr="002136D7">
        <w:rPr>
          <w:color w:val="438086" w:themeColor="accent2"/>
          <w:sz w:val="22"/>
          <w:szCs w:val="22"/>
        </w:rPr>
        <w:fldChar w:fldCharType="separate"/>
      </w:r>
      <w:r w:rsidR="00057601">
        <w:rPr>
          <w:noProof/>
          <w:color w:val="438086" w:themeColor="accent2"/>
          <w:sz w:val="22"/>
          <w:szCs w:val="22"/>
        </w:rPr>
        <w:t>9</w:t>
      </w:r>
      <w:r w:rsidRPr="002136D7">
        <w:rPr>
          <w:color w:val="438086" w:themeColor="accent2"/>
          <w:sz w:val="22"/>
          <w:szCs w:val="22"/>
        </w:rPr>
        <w:fldChar w:fldCharType="end"/>
      </w:r>
      <w:r w:rsidRPr="002136D7">
        <w:rPr>
          <w:color w:val="438086" w:themeColor="accent2"/>
          <w:sz w:val="22"/>
          <w:szCs w:val="22"/>
        </w:rPr>
        <w:t>: Índice de Cumplimiento de la</w:t>
      </w:r>
      <w:r w:rsidR="0052794A">
        <w:rPr>
          <w:color w:val="438086" w:themeColor="accent2"/>
          <w:sz w:val="22"/>
          <w:szCs w:val="22"/>
        </w:rPr>
        <w:t xml:space="preserve"> Información Obligatoria (ICIO). </w:t>
      </w:r>
    </w:p>
    <w:p w:rsidR="002136D7" w:rsidRDefault="00042372" w:rsidP="00513EC7">
      <w:pPr>
        <w:pStyle w:val="Ttulo3"/>
      </w:pPr>
      <w:bookmarkStart w:id="18" w:name="_Toc92897763"/>
      <w:r>
        <w:rPr>
          <w:noProof/>
        </w:rPr>
        <w:drawing>
          <wp:inline distT="0" distB="0" distL="0" distR="0" wp14:anchorId="47A78007" wp14:editId="6921E85C">
            <wp:extent cx="5619750" cy="290512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8"/>
    </w:p>
    <w:p w:rsidR="006219DA" w:rsidRDefault="006219DA" w:rsidP="006219DA"/>
    <w:p w:rsidR="007B7AD1" w:rsidRDefault="00042372" w:rsidP="006219DA">
      <w:r>
        <w:t xml:space="preserve">Cinco Comunidades o Ciudades Autónomas </w:t>
      </w:r>
      <w:r w:rsidR="00057601">
        <w:t xml:space="preserve">presentan niveles de cumplimiento iguales o superiores al </w:t>
      </w:r>
      <w:r>
        <w:t>80%.</w:t>
      </w:r>
    </w:p>
    <w:p w:rsidR="00057601" w:rsidRDefault="00057601" w:rsidP="006219DA">
      <w:r>
        <w:t xml:space="preserve">Respecto de 2020, el ICIO medio ha aumentado en </w:t>
      </w:r>
      <w:r w:rsidR="00042372">
        <w:t>6,4</w:t>
      </w:r>
      <w:r>
        <w:t xml:space="preserve"> puntos porcentuales. E</w:t>
      </w:r>
      <w:r w:rsidR="00042372">
        <w:t>n términos relativos, e</w:t>
      </w:r>
      <w:r>
        <w:t xml:space="preserve">l incremento medio de las </w:t>
      </w:r>
      <w:r w:rsidR="00042372">
        <w:t>instituciones</w:t>
      </w:r>
      <w:r>
        <w:t xml:space="preserve"> evaluadas ha sido de</w:t>
      </w:r>
      <w:r w:rsidR="00042372">
        <w:t>l 11%</w:t>
      </w:r>
      <w:r>
        <w:t>.</w:t>
      </w:r>
    </w:p>
    <w:p w:rsidR="00513EC7" w:rsidRDefault="0065420F" w:rsidP="00042372">
      <w:pPr>
        <w:pStyle w:val="Ttulo1"/>
        <w:numPr>
          <w:ilvl w:val="0"/>
          <w:numId w:val="49"/>
        </w:numPr>
      </w:pPr>
      <w:bookmarkStart w:id="19" w:name="_Toc92897764"/>
      <w:r>
        <w:t>Conclusiones y Recomendaciones</w:t>
      </w:r>
      <w:bookmarkEnd w:id="19"/>
    </w:p>
    <w:p w:rsidR="00596EDD" w:rsidRDefault="00596EDD" w:rsidP="00596EDD"/>
    <w:p w:rsidR="002C5C4E" w:rsidRPr="002C5C4E" w:rsidRDefault="00057FFA" w:rsidP="00596EDD">
      <w:pPr>
        <w:rPr>
          <w:rFonts w:asciiTheme="majorHAnsi" w:hAnsiTheme="majorHAnsi"/>
          <w:b/>
          <w:color w:val="438086" w:themeColor="accent2"/>
          <w:sz w:val="28"/>
          <w:szCs w:val="28"/>
        </w:rPr>
      </w:pPr>
      <w:r>
        <w:rPr>
          <w:rFonts w:asciiTheme="majorHAnsi" w:hAnsiTheme="majorHAnsi"/>
          <w:b/>
          <w:color w:val="438086" w:themeColor="accent2"/>
          <w:sz w:val="28"/>
          <w:szCs w:val="28"/>
        </w:rPr>
        <w:t>I</w:t>
      </w:r>
      <w:r w:rsidR="002C5C4E" w:rsidRPr="002C5C4E">
        <w:rPr>
          <w:rFonts w:asciiTheme="majorHAnsi" w:hAnsiTheme="majorHAnsi"/>
          <w:b/>
          <w:color w:val="438086" w:themeColor="accent2"/>
          <w:sz w:val="28"/>
          <w:szCs w:val="28"/>
        </w:rPr>
        <w:t>V.</w:t>
      </w:r>
      <w:r w:rsidR="002C5C4E">
        <w:rPr>
          <w:rFonts w:asciiTheme="majorHAnsi" w:hAnsiTheme="majorHAnsi"/>
          <w:b/>
          <w:color w:val="438086" w:themeColor="accent2"/>
          <w:sz w:val="28"/>
          <w:szCs w:val="28"/>
        </w:rPr>
        <w:t>1.</w:t>
      </w:r>
      <w:r w:rsidR="002C5C4E" w:rsidRPr="002C5C4E">
        <w:rPr>
          <w:rFonts w:asciiTheme="majorHAnsi" w:hAnsiTheme="majorHAnsi"/>
          <w:b/>
          <w:color w:val="438086" w:themeColor="accent2"/>
          <w:sz w:val="28"/>
          <w:szCs w:val="28"/>
        </w:rPr>
        <w:t xml:space="preserve"> </w:t>
      </w:r>
      <w:r w:rsidR="002C5C4E">
        <w:rPr>
          <w:rFonts w:asciiTheme="majorHAnsi" w:hAnsiTheme="majorHAnsi"/>
          <w:b/>
          <w:color w:val="438086" w:themeColor="accent2"/>
          <w:sz w:val="28"/>
          <w:szCs w:val="28"/>
        </w:rPr>
        <w:t>Aplicación de las recomendaciones derivadas de la evaluación 2020.</w:t>
      </w:r>
    </w:p>
    <w:p w:rsidR="002C5C4E" w:rsidRDefault="002C5C4E" w:rsidP="00D67951">
      <w:pPr>
        <w:pStyle w:val="Ttulo2"/>
        <w:rPr>
          <w:rFonts w:ascii="Century Gothic" w:hAnsi="Century Gothic"/>
          <w:color w:val="325F64" w:themeColor="accent2" w:themeShade="BF"/>
          <w:sz w:val="22"/>
          <w:szCs w:val="20"/>
        </w:rPr>
      </w:pPr>
      <w:bookmarkStart w:id="20" w:name="_Toc86323287"/>
      <w:bookmarkStart w:id="21" w:name="_Toc69312067"/>
      <w:bookmarkStart w:id="22" w:name="_Toc92897765"/>
      <w:r w:rsidRPr="002C5C4E">
        <w:rPr>
          <w:rFonts w:ascii="Century Gothic" w:hAnsi="Century Gothic"/>
          <w:color w:val="325F64" w:themeColor="accent2" w:themeShade="BF"/>
          <w:sz w:val="22"/>
          <w:szCs w:val="20"/>
        </w:rPr>
        <w:t xml:space="preserve">Tras </w:t>
      </w:r>
      <w:r>
        <w:rPr>
          <w:rFonts w:ascii="Century Gothic" w:hAnsi="Century Gothic"/>
          <w:color w:val="325F64" w:themeColor="accent2" w:themeShade="BF"/>
          <w:sz w:val="22"/>
          <w:szCs w:val="20"/>
        </w:rPr>
        <w:t xml:space="preserve">la evaluación realizada en 2020 se ha aplicado el </w:t>
      </w:r>
      <w:r w:rsidR="007206B9">
        <w:rPr>
          <w:rFonts w:ascii="Century Gothic" w:hAnsi="Century Gothic"/>
          <w:color w:val="325F64" w:themeColor="accent2" w:themeShade="BF"/>
          <w:sz w:val="22"/>
          <w:szCs w:val="20"/>
        </w:rPr>
        <w:t>24,8</w:t>
      </w:r>
      <w:r>
        <w:rPr>
          <w:rFonts w:ascii="Century Gothic" w:hAnsi="Century Gothic"/>
          <w:color w:val="325F64" w:themeColor="accent2" w:themeShade="BF"/>
          <w:sz w:val="22"/>
          <w:szCs w:val="20"/>
        </w:rPr>
        <w:t>% de las recomendaciones efectuadas. Más de</w:t>
      </w:r>
      <w:r w:rsidR="007206B9">
        <w:rPr>
          <w:rFonts w:ascii="Century Gothic" w:hAnsi="Century Gothic"/>
          <w:color w:val="325F64" w:themeColor="accent2" w:themeShade="BF"/>
          <w:sz w:val="22"/>
          <w:szCs w:val="20"/>
        </w:rPr>
        <w:t xml:space="preserve">l 62% </w:t>
      </w:r>
      <w:r>
        <w:rPr>
          <w:rFonts w:ascii="Century Gothic" w:hAnsi="Century Gothic"/>
          <w:color w:val="325F64" w:themeColor="accent2" w:themeShade="BF"/>
          <w:sz w:val="22"/>
          <w:szCs w:val="20"/>
        </w:rPr>
        <w:t xml:space="preserve"> </w:t>
      </w:r>
      <w:r w:rsidR="00E334D1">
        <w:rPr>
          <w:rFonts w:ascii="Century Gothic" w:hAnsi="Century Gothic"/>
          <w:color w:val="325F64" w:themeColor="accent2" w:themeShade="BF"/>
          <w:sz w:val="22"/>
          <w:szCs w:val="20"/>
        </w:rPr>
        <w:t xml:space="preserve">de las Comunidades y Ciudades Autónomas </w:t>
      </w:r>
      <w:r>
        <w:rPr>
          <w:rFonts w:ascii="Century Gothic" w:hAnsi="Century Gothic"/>
          <w:color w:val="325F64" w:themeColor="accent2" w:themeShade="BF"/>
          <w:sz w:val="22"/>
          <w:szCs w:val="20"/>
        </w:rPr>
        <w:t xml:space="preserve">aplicó </w:t>
      </w:r>
      <w:r w:rsidR="007206B9">
        <w:rPr>
          <w:rFonts w:ascii="Century Gothic" w:hAnsi="Century Gothic"/>
          <w:color w:val="325F64" w:themeColor="accent2" w:themeShade="BF"/>
          <w:sz w:val="22"/>
          <w:szCs w:val="20"/>
        </w:rPr>
        <w:t>entre el 20 y el</w:t>
      </w:r>
      <w:r>
        <w:rPr>
          <w:rFonts w:ascii="Century Gothic" w:hAnsi="Century Gothic"/>
          <w:color w:val="325F64" w:themeColor="accent2" w:themeShade="BF"/>
          <w:sz w:val="22"/>
          <w:szCs w:val="20"/>
        </w:rPr>
        <w:t xml:space="preserve"> </w:t>
      </w:r>
      <w:r w:rsidR="007206B9">
        <w:rPr>
          <w:rFonts w:ascii="Century Gothic" w:hAnsi="Century Gothic"/>
          <w:color w:val="325F64" w:themeColor="accent2" w:themeShade="BF"/>
          <w:sz w:val="22"/>
          <w:szCs w:val="20"/>
        </w:rPr>
        <w:t>4</w:t>
      </w:r>
      <w:r>
        <w:rPr>
          <w:rFonts w:ascii="Century Gothic" w:hAnsi="Century Gothic"/>
          <w:color w:val="325F64" w:themeColor="accent2" w:themeShade="BF"/>
          <w:sz w:val="22"/>
          <w:szCs w:val="20"/>
        </w:rPr>
        <w:t>0% de dichas recomendaciones</w:t>
      </w:r>
      <w:bookmarkEnd w:id="20"/>
      <w:bookmarkEnd w:id="22"/>
    </w:p>
    <w:p w:rsidR="002C5C4E" w:rsidRDefault="002C5C4E" w:rsidP="002C5C4E"/>
    <w:p w:rsidR="002C5C4E" w:rsidRPr="002C5C4E" w:rsidRDefault="002C5C4E" w:rsidP="002C5C4E">
      <w:r>
        <w:t xml:space="preserve">No obstante es importante señalar </w:t>
      </w:r>
      <w:r w:rsidR="007206B9">
        <w:t>que un número elevado de estas</w:t>
      </w:r>
      <w:r>
        <w:t xml:space="preserve"> </w:t>
      </w:r>
      <w:r w:rsidR="007206B9">
        <w:t xml:space="preserve">recomendaciones estaban referidas a cuestiones que no afectan a la publicación de contenidos o a los atributos de calidad de la información publicada, estando </w:t>
      </w:r>
      <w:r w:rsidR="00E334D1">
        <w:t xml:space="preserve">vinculadas </w:t>
      </w:r>
      <w:r w:rsidR="007206B9">
        <w:t>a aspectos como la organización de la información, la publicación de informaciones fuera del Portal de Transparencia o errores detectados en el funcionamiento de algunos de los enlaces a la información obligatoria.</w:t>
      </w:r>
    </w:p>
    <w:p w:rsidR="002C5C4E" w:rsidRDefault="002C5C4E" w:rsidP="00D67951">
      <w:pPr>
        <w:pStyle w:val="Ttulo2"/>
      </w:pPr>
    </w:p>
    <w:bookmarkEnd w:id="21"/>
    <w:p w:rsidR="00D67951" w:rsidRPr="001836F5" w:rsidRDefault="007206B9" w:rsidP="00D67951">
      <w:pPr>
        <w:rPr>
          <w:b/>
          <w:color w:val="325F64" w:themeColor="accent2" w:themeShade="BF"/>
        </w:rPr>
      </w:pPr>
      <w:r>
        <w:rPr>
          <w:b/>
          <w:color w:val="325F64" w:themeColor="accent2" w:themeShade="BF"/>
        </w:rPr>
        <w:lastRenderedPageBreak/>
        <w:t xml:space="preserve">Todas las Comunidades y Ciudades Autónomas </w:t>
      </w:r>
      <w:r w:rsidR="006D7EE4">
        <w:rPr>
          <w:b/>
          <w:color w:val="325F64" w:themeColor="accent2" w:themeShade="BF"/>
        </w:rPr>
        <w:t>evaluad</w:t>
      </w:r>
      <w:r w:rsidR="00E50E43">
        <w:rPr>
          <w:b/>
          <w:color w:val="325F64" w:themeColor="accent2" w:themeShade="BF"/>
        </w:rPr>
        <w:t>a</w:t>
      </w:r>
      <w:r w:rsidR="006D7EE4">
        <w:rPr>
          <w:b/>
          <w:color w:val="325F64" w:themeColor="accent2" w:themeShade="BF"/>
        </w:rPr>
        <w:t>s cuenta</w:t>
      </w:r>
      <w:r>
        <w:rPr>
          <w:b/>
          <w:color w:val="325F64" w:themeColor="accent2" w:themeShade="BF"/>
        </w:rPr>
        <w:t>n</w:t>
      </w:r>
      <w:r w:rsidR="006D7EE4">
        <w:rPr>
          <w:b/>
          <w:color w:val="325F64" w:themeColor="accent2" w:themeShade="BF"/>
        </w:rPr>
        <w:t xml:space="preserve"> con un portal de transparencia que en la mayoría de los casos se encuentra ubicado en un lugar visible de su web institucional.</w:t>
      </w:r>
    </w:p>
    <w:p w:rsidR="00D67951" w:rsidRDefault="007206B9" w:rsidP="00D67951">
      <w:r>
        <w:t xml:space="preserve">La información contenida en estos Portales de Transparencia se organiza conforme a la LTAIBG o la norma autonómica en el 62,5% de los casos. Una cuarta parte de las instituciones publica su información organizada pero sin utilizar como patrón de referencia la estructura establecida por las normas estatal o autonómica.  </w:t>
      </w:r>
      <w:r w:rsidR="00E50E43">
        <w:t xml:space="preserve">Un 37,5% </w:t>
      </w:r>
      <w:r w:rsidR="006D7EE4">
        <w:t xml:space="preserve">de las </w:t>
      </w:r>
      <w:r>
        <w:t>instituciones</w:t>
      </w:r>
      <w:r w:rsidR="006D7EE4">
        <w:t xml:space="preserve"> </w:t>
      </w:r>
      <w:r w:rsidR="00D67951">
        <w:t>publica información obligatoria al margen de su Portal de Transparencia, lo que dificulta su localización.</w:t>
      </w:r>
    </w:p>
    <w:p w:rsidR="00D67951" w:rsidRDefault="00D67951" w:rsidP="00D67951">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En la medida de lo posible la</w:t>
      </w:r>
      <w:r w:rsidR="002C5C4E">
        <w:t xml:space="preserve"> organización de la </w:t>
      </w:r>
      <w:r>
        <w:t xml:space="preserve"> información debe ajustarse al patrón establecido por la LTAIBG</w:t>
      </w:r>
      <w:r w:rsidR="007206B9">
        <w:t xml:space="preserve"> o por la norma autonómica,</w:t>
      </w:r>
      <w:r>
        <w:t xml:space="preserve"> dado que es esperable que los ciudadanos utilicen</w:t>
      </w:r>
      <w:r w:rsidRPr="004612EB">
        <w:t xml:space="preserve"> </w:t>
      </w:r>
      <w:r w:rsidR="00E2112B">
        <w:t>la norma correspondiente</w:t>
      </w:r>
      <w:r w:rsidRPr="004612EB">
        <w:t xml:space="preserve"> </w:t>
      </w:r>
      <w:r>
        <w:t>como referencia para localizar la información.</w:t>
      </w:r>
    </w:p>
    <w:p w:rsidR="00D67951" w:rsidRDefault="00D67951" w:rsidP="00D67951">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Todas las informaciones obligatorias deberían publicarse en el Portal de Transparencia. En el supuesto de que una información se encuentre publicada en otro lugar de la web institucional, debería enlazarse a ella desde el Portal de Transparencia, ubicando dicho enlace en el bloque de información al que pertenezca.   </w:t>
      </w:r>
    </w:p>
    <w:p w:rsidR="00D67951" w:rsidRPr="002A35CD" w:rsidRDefault="00D67951" w:rsidP="00D67951">
      <w:pPr>
        <w:rPr>
          <w:b/>
          <w:color w:val="325F64" w:themeColor="accent2" w:themeShade="BF"/>
        </w:rPr>
      </w:pPr>
      <w:r w:rsidRPr="002A35CD">
        <w:rPr>
          <w:b/>
          <w:color w:val="325F64" w:themeColor="accent2" w:themeShade="BF"/>
        </w:rPr>
        <w:t xml:space="preserve">En promedio </w:t>
      </w:r>
      <w:r w:rsidR="00DA7486">
        <w:rPr>
          <w:b/>
          <w:color w:val="325F64" w:themeColor="accent2" w:themeShade="BF"/>
        </w:rPr>
        <w:t>la proporción</w:t>
      </w:r>
      <w:r w:rsidRPr="002A35CD">
        <w:rPr>
          <w:b/>
          <w:color w:val="325F64" w:themeColor="accent2" w:themeShade="BF"/>
        </w:rPr>
        <w:t xml:space="preserve"> de informaciones obligatorias </w:t>
      </w:r>
      <w:r w:rsidR="00DA7486">
        <w:rPr>
          <w:b/>
          <w:color w:val="325F64" w:themeColor="accent2" w:themeShade="BF"/>
        </w:rPr>
        <w:t xml:space="preserve">que se publican </w:t>
      </w:r>
      <w:r w:rsidR="002E00AB">
        <w:rPr>
          <w:b/>
          <w:color w:val="325F64" w:themeColor="accent2" w:themeShade="BF"/>
        </w:rPr>
        <w:t>se sitúa en</w:t>
      </w:r>
      <w:r w:rsidR="00DA7486">
        <w:rPr>
          <w:b/>
          <w:color w:val="325F64" w:themeColor="accent2" w:themeShade="BF"/>
        </w:rPr>
        <w:t xml:space="preserve"> el </w:t>
      </w:r>
      <w:r w:rsidR="00E2112B">
        <w:rPr>
          <w:b/>
          <w:color w:val="325F64" w:themeColor="accent2" w:themeShade="BF"/>
        </w:rPr>
        <w:t>85,7</w:t>
      </w:r>
      <w:r w:rsidR="00DA7486">
        <w:rPr>
          <w:b/>
          <w:color w:val="325F64" w:themeColor="accent2" w:themeShade="BF"/>
        </w:rPr>
        <w:t xml:space="preserve">%, </w:t>
      </w:r>
      <w:r w:rsidRPr="002A35CD">
        <w:rPr>
          <w:b/>
          <w:color w:val="325F64" w:themeColor="accent2" w:themeShade="BF"/>
        </w:rPr>
        <w:t xml:space="preserve">aunque existen diferencias entre bloques de información y una gran variabilidad entre las </w:t>
      </w:r>
      <w:r w:rsidR="003A6B5E">
        <w:rPr>
          <w:b/>
          <w:color w:val="325F64" w:themeColor="accent2" w:themeShade="BF"/>
        </w:rPr>
        <w:t>entidades</w:t>
      </w:r>
      <w:r w:rsidRPr="002A35CD">
        <w:rPr>
          <w:b/>
          <w:color w:val="325F64" w:themeColor="accent2" w:themeShade="BF"/>
        </w:rPr>
        <w:t xml:space="preserve"> evaluadas. </w:t>
      </w:r>
    </w:p>
    <w:p w:rsidR="00DA7486" w:rsidRDefault="009B2358" w:rsidP="00D67951">
      <w:r>
        <w:t>Así por ejemplo, el promedio de contenidos publicados en la información patrimonial se sitúa en el 75%</w:t>
      </w:r>
      <w:r w:rsidR="0075169D">
        <w:t xml:space="preserve"> </w:t>
      </w:r>
      <w:r>
        <w:t xml:space="preserve">muy por debajo de la media y entre las instituciones la diferencia entre la que menos contenidos obligatorios </w:t>
      </w:r>
      <w:proofErr w:type="spellStart"/>
      <w:r>
        <w:t>publica</w:t>
      </w:r>
      <w:proofErr w:type="spellEnd"/>
      <w:r>
        <w:t xml:space="preserve"> y la que más  es de casi 31 puntos porcentuales.</w:t>
      </w:r>
    </w:p>
    <w:p w:rsidR="00DE2201" w:rsidRDefault="00554AE4" w:rsidP="00D67951">
      <w:r>
        <w:t>Las informaciones que presentan una menor frecuencia de publicación son</w:t>
      </w:r>
      <w:r w:rsidR="009B2358">
        <w:t xml:space="preserve"> la información sobre las indemnizaciones percibidas por altos cargos tras su cese (33,3%), los datos estadísticos sobre contratación (37,5%) y</w:t>
      </w:r>
      <w:r w:rsidR="00DE2201">
        <w:t xml:space="preserve"> </w:t>
      </w:r>
      <w:r w:rsidR="009B2358">
        <w:t>la información sobre seguimiento  y evaluación de planes y programas (44%).</w:t>
      </w:r>
    </w:p>
    <w:p w:rsidR="00D67951" w:rsidRDefault="00D67951" w:rsidP="00D67951">
      <w:r>
        <w:t xml:space="preserve">Algunas de las </w:t>
      </w:r>
      <w:r w:rsidR="0075169D">
        <w:t>instituciones</w:t>
      </w:r>
      <w:r>
        <w:t xml:space="preserve"> en sus informes de observaciones, han indicado como causa de la falta de publicación de algunas informaciones</w:t>
      </w:r>
      <w:r w:rsidR="0075169D">
        <w:t>,</w:t>
      </w:r>
      <w:r>
        <w:t xml:space="preserve"> </w:t>
      </w:r>
      <w:r w:rsidR="003A6B5E">
        <w:t>la inexistencia</w:t>
      </w:r>
      <w:r>
        <w:t xml:space="preserve"> información que publicar por no haber habido actividad en ese ámbito concreto</w:t>
      </w:r>
      <w:r w:rsidR="009B2358">
        <w:t xml:space="preserve"> o porque una norma </w:t>
      </w:r>
      <w:r w:rsidR="007F0CCF">
        <w:t>impide que esa actividad  pueda realizarse – por ejemplo, indemnizaciones o autorizaciones para el ejercicio de actividades privadas al ceso de altos cargos.</w:t>
      </w:r>
    </w:p>
    <w:p w:rsidR="0075169D" w:rsidRDefault="0075169D" w:rsidP="00D67951"/>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lastRenderedPageBreak/>
        <w:t xml:space="preserve">La primera recomendación obviamente, es la publicación de todas las informaciones obligatorias. </w:t>
      </w:r>
    </w:p>
    <w:p w:rsidR="00D67951" w:rsidRDefault="00D67951" w:rsidP="001D5FAD">
      <w:pPr>
        <w:pBdr>
          <w:top w:val="single" w:sz="4" w:space="1" w:color="438086" w:themeColor="accent2"/>
          <w:left w:val="single" w:sz="4" w:space="4" w:color="438086" w:themeColor="accent2"/>
          <w:bottom w:val="single" w:sz="4" w:space="1" w:color="438086" w:themeColor="accent2"/>
          <w:right w:val="single" w:sz="4" w:space="4" w:color="438086" w:themeColor="accent2"/>
        </w:pBdr>
      </w:pPr>
      <w:r>
        <w:t>En cuanto a la falta de publicación de algunas informaciones por no haber existido actividad en ese ámbito concreto, d</w:t>
      </w:r>
      <w:r w:rsidRPr="00F6070C">
        <w:t>esde este Consejo viene señalándose que la única manera de distinguir si la falta de publicación de una información sujeta a obligaciones de publicidad activa se debe a un incumplimiento de la obligación de publicar o a que no hay información que publicar porque no ha habido actividad en ese ámbito concreto</w:t>
      </w:r>
      <w:r>
        <w:t xml:space="preserve"> o porque algún tipo de regulación no permite su publicación</w:t>
      </w:r>
      <w:r w:rsidRPr="00F6070C">
        <w:t>, es que se indique tal circunstancia. Por esta razón, este Consejo, recomienda que en el apartado correspondiente a la obligación de publicidad activa para la que no ha existido actividad</w:t>
      </w:r>
      <w:r>
        <w:t xml:space="preserve"> o cuando no sea posible su publicación porque existan restricciones legales, </w:t>
      </w:r>
      <w:r w:rsidRPr="00F6070C">
        <w:t>se haga constar expresamente.</w:t>
      </w:r>
    </w:p>
    <w:p w:rsidR="0075169D" w:rsidRDefault="0075169D" w:rsidP="007F0CCF">
      <w:pPr>
        <w:rPr>
          <w:b/>
          <w:color w:val="325F64" w:themeColor="accent2" w:themeShade="BF"/>
        </w:rPr>
      </w:pPr>
    </w:p>
    <w:p w:rsidR="007F0CCF" w:rsidRPr="00F6070C" w:rsidRDefault="007601C2" w:rsidP="007F0CCF">
      <w:pPr>
        <w:rPr>
          <w:b/>
          <w:color w:val="325F64" w:themeColor="accent2" w:themeShade="BF"/>
        </w:rPr>
      </w:pPr>
      <w:r>
        <w:rPr>
          <w:b/>
          <w:color w:val="325F64" w:themeColor="accent2" w:themeShade="BF"/>
        </w:rPr>
        <w:t>L</w:t>
      </w:r>
      <w:r w:rsidR="00D67951">
        <w:rPr>
          <w:b/>
          <w:color w:val="325F64" w:themeColor="accent2" w:themeShade="BF"/>
        </w:rPr>
        <w:t xml:space="preserve">os criterios de calidad de la información publicada obtienen una valoración </w:t>
      </w:r>
      <w:r>
        <w:rPr>
          <w:b/>
          <w:color w:val="325F64" w:themeColor="accent2" w:themeShade="BF"/>
        </w:rPr>
        <w:t>que en general</w:t>
      </w:r>
      <w:r w:rsidR="003A6B5E">
        <w:rPr>
          <w:b/>
          <w:color w:val="325F64" w:themeColor="accent2" w:themeShade="BF"/>
        </w:rPr>
        <w:t>,</w:t>
      </w:r>
      <w:r>
        <w:rPr>
          <w:b/>
          <w:color w:val="325F64" w:themeColor="accent2" w:themeShade="BF"/>
        </w:rPr>
        <w:t xml:space="preserve"> </w:t>
      </w:r>
      <w:r w:rsidR="007F0CCF">
        <w:rPr>
          <w:b/>
          <w:color w:val="325F64" w:themeColor="accent2" w:themeShade="BF"/>
        </w:rPr>
        <w:t>se sitúa en torno al 80%</w:t>
      </w:r>
      <w:r w:rsidR="00DE2201">
        <w:rPr>
          <w:b/>
          <w:color w:val="325F64" w:themeColor="accent2" w:themeShade="BF"/>
        </w:rPr>
        <w:t xml:space="preserve">.  </w:t>
      </w:r>
      <w:r w:rsidR="007F0CCF">
        <w:rPr>
          <w:b/>
          <w:color w:val="325F64" w:themeColor="accent2" w:themeShade="BF"/>
        </w:rPr>
        <w:t>Esta valoración se explica por los problemas de accesibilidad a la información derivados de la forma de publicar las informaciones y, sobre todo, se observa la falta de referencias que permitan saber si la información publicada  está vigente.</w:t>
      </w:r>
    </w:p>
    <w:p w:rsidR="007F0CCF" w:rsidRDefault="007F0CCF" w:rsidP="007F0CCF">
      <w:pPr>
        <w:tabs>
          <w:tab w:val="left" w:pos="284"/>
        </w:tabs>
        <w:spacing w:before="120" w:after="120" w:line="312" w:lineRule="auto"/>
        <w:rPr>
          <w:rFonts w:cstheme="minorHAnsi"/>
          <w:szCs w:val="24"/>
        </w:rPr>
      </w:pPr>
      <w:r w:rsidRPr="004B627A">
        <w:rPr>
          <w:rFonts w:cstheme="minorHAnsi"/>
          <w:szCs w:val="24"/>
        </w:rPr>
        <w:t>Un ejemplo claro del primer supuesto</w:t>
      </w:r>
      <w:r>
        <w:rPr>
          <w:rFonts w:cstheme="minorHAnsi"/>
          <w:szCs w:val="24"/>
        </w:rPr>
        <w:t>, como se ha venido reseñando en los informes de evaluación elaborados a lo largo de 2021,  es el recurso a fuentes centralizadas para la publicación de informaciones obligatorias, lo que genera diferentes problemas:</w:t>
      </w:r>
    </w:p>
    <w:p w:rsidR="007F0CCF" w:rsidRDefault="007F0CCF" w:rsidP="007F0CCF">
      <w:pPr>
        <w:pStyle w:val="Prrafodelista"/>
        <w:numPr>
          <w:ilvl w:val="0"/>
          <w:numId w:val="46"/>
        </w:numPr>
        <w:tabs>
          <w:tab w:val="left" w:pos="284"/>
        </w:tabs>
        <w:spacing w:before="120" w:after="120" w:line="312" w:lineRule="auto"/>
        <w:rPr>
          <w:rFonts w:cstheme="minorHAnsi"/>
          <w:szCs w:val="24"/>
        </w:rPr>
      </w:pPr>
      <w:r>
        <w:rPr>
          <w:rFonts w:cstheme="minorHAnsi"/>
          <w:szCs w:val="24"/>
        </w:rPr>
        <w:t>En primer lugar, se trata de fuentes de información de difícil acceso para la ciudadanía por las dificultades de manejo que presentan.</w:t>
      </w:r>
    </w:p>
    <w:p w:rsidR="007F0CCF" w:rsidRDefault="007F0CCF" w:rsidP="0075169D">
      <w:pPr>
        <w:pStyle w:val="Prrafodelista"/>
        <w:numPr>
          <w:ilvl w:val="0"/>
          <w:numId w:val="46"/>
        </w:numPr>
        <w:tabs>
          <w:tab w:val="left" w:pos="284"/>
        </w:tabs>
        <w:spacing w:before="120" w:after="120" w:line="360" w:lineRule="auto"/>
        <w:rPr>
          <w:rFonts w:cstheme="minorHAnsi"/>
          <w:szCs w:val="24"/>
        </w:rPr>
      </w:pPr>
      <w:r>
        <w:rPr>
          <w:rFonts w:cstheme="minorHAnsi"/>
          <w:szCs w:val="24"/>
        </w:rPr>
        <w:t>En segundo lugar, a</w:t>
      </w:r>
      <w:r w:rsidRPr="009768D7">
        <w:rPr>
          <w:rFonts w:cstheme="minorHAnsi"/>
          <w:szCs w:val="24"/>
        </w:rPr>
        <w:t>l estar diseñadas para otros usos</w:t>
      </w:r>
      <w:r>
        <w:rPr>
          <w:rFonts w:cstheme="minorHAnsi"/>
          <w:szCs w:val="24"/>
        </w:rPr>
        <w:t>,</w:t>
      </w:r>
      <w:r w:rsidRPr="009768D7">
        <w:rPr>
          <w:rFonts w:cstheme="minorHAnsi"/>
          <w:szCs w:val="24"/>
        </w:rPr>
        <w:t xml:space="preserve"> </w:t>
      </w:r>
      <w:r>
        <w:rPr>
          <w:rFonts w:cstheme="minorHAnsi"/>
          <w:szCs w:val="24"/>
        </w:rPr>
        <w:t>i</w:t>
      </w:r>
      <w:r w:rsidRPr="009768D7">
        <w:rPr>
          <w:rFonts w:cstheme="minorHAnsi"/>
          <w:szCs w:val="24"/>
        </w:rPr>
        <w:t xml:space="preserve">ncluyen mucha información no relacionada con las obligaciones de publicidad activa y por el contrario no incluyen otros contenidos que son obligatorios en aplicación de la LTAIBG. </w:t>
      </w:r>
      <w:r>
        <w:rPr>
          <w:rFonts w:cstheme="minorHAnsi"/>
          <w:szCs w:val="24"/>
        </w:rPr>
        <w:t xml:space="preserve">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w:t>
      </w:r>
      <w:r w:rsidRPr="006C3BE2">
        <w:rPr>
          <w:rFonts w:cstheme="minorHAnsi"/>
          <w:szCs w:val="24"/>
        </w:rPr>
        <w:t>Plataforma de Contratación del Sector Público</w:t>
      </w:r>
      <w:r>
        <w:rPr>
          <w:rFonts w:cstheme="minorHAnsi"/>
          <w:szCs w:val="24"/>
        </w:rPr>
        <w:t>, implica</w:t>
      </w:r>
      <w:r w:rsidRPr="009768D7">
        <w:rPr>
          <w:rFonts w:cstheme="minorHAnsi"/>
          <w:szCs w:val="24"/>
        </w:rPr>
        <w:t xml:space="preserve"> abrir los enlaces a cada una de las licitaciones </w:t>
      </w:r>
      <w:r>
        <w:rPr>
          <w:rFonts w:cstheme="minorHAnsi"/>
          <w:szCs w:val="24"/>
        </w:rPr>
        <w:t>correspondientes a la entidad</w:t>
      </w:r>
      <w:r w:rsidRPr="009768D7">
        <w:rPr>
          <w:rFonts w:cstheme="minorHAnsi"/>
          <w:szCs w:val="24"/>
        </w:rPr>
        <w:t xml:space="preserve"> para conocer si </w:t>
      </w:r>
      <w:r>
        <w:rPr>
          <w:rFonts w:cstheme="minorHAnsi"/>
          <w:szCs w:val="24"/>
        </w:rPr>
        <w:t xml:space="preserve">en alguna de ellas se ha dado esta circunstancia. Un problema adicional es que una entidad puede tener más de un órgano de contratación, lo que supone una dificultad adicional. </w:t>
      </w:r>
    </w:p>
    <w:p w:rsidR="007F0CCF" w:rsidRDefault="007F0CCF" w:rsidP="0075169D">
      <w:pPr>
        <w:pStyle w:val="Prrafodelista"/>
        <w:numPr>
          <w:ilvl w:val="0"/>
          <w:numId w:val="46"/>
        </w:numPr>
        <w:tabs>
          <w:tab w:val="left" w:pos="284"/>
        </w:tabs>
        <w:spacing w:before="120" w:after="120"/>
        <w:rPr>
          <w:rFonts w:cstheme="minorHAnsi"/>
          <w:szCs w:val="24"/>
        </w:rPr>
      </w:pPr>
      <w:r>
        <w:rPr>
          <w:rFonts w:cstheme="minorHAnsi"/>
          <w:szCs w:val="24"/>
        </w:rPr>
        <w:lastRenderedPageBreak/>
        <w:t xml:space="preserve">En tercer lugar, </w:t>
      </w:r>
      <w:r w:rsidRPr="006C3BE2">
        <w:rPr>
          <w:rFonts w:cstheme="minorHAnsi"/>
          <w:szCs w:val="24"/>
        </w:rPr>
        <w:t>un problema añadido a los ya señalados</w:t>
      </w:r>
      <w:r>
        <w:rPr>
          <w:rFonts w:cstheme="minorHAnsi"/>
          <w:szCs w:val="24"/>
        </w:rPr>
        <w:t>, es</w:t>
      </w:r>
      <w:r w:rsidRPr="006C3BE2">
        <w:rPr>
          <w:rFonts w:cstheme="minorHAnsi"/>
          <w:szCs w:val="24"/>
        </w:rPr>
        <w:t xml:space="preserve"> la imposibilidad de que la entidad que adopta </w:t>
      </w:r>
      <w:r>
        <w:rPr>
          <w:rFonts w:cstheme="minorHAnsi"/>
          <w:szCs w:val="24"/>
        </w:rPr>
        <w:t>la</w:t>
      </w:r>
      <w:r w:rsidRPr="006C3BE2">
        <w:rPr>
          <w:rFonts w:cstheme="minorHAnsi"/>
          <w:szCs w:val="24"/>
        </w:rPr>
        <w:t xml:space="preserve"> decisión</w:t>
      </w:r>
      <w:r>
        <w:rPr>
          <w:rFonts w:cstheme="minorHAnsi"/>
          <w:szCs w:val="24"/>
        </w:rPr>
        <w:t xml:space="preserve"> de publicar información enlazando a fuentes centralizadas,</w:t>
      </w:r>
      <w:r w:rsidRPr="006C3BE2">
        <w:rPr>
          <w:rFonts w:cstheme="minorHAnsi"/>
          <w:szCs w:val="24"/>
        </w:rPr>
        <w:t xml:space="preserve"> pueda controlar tanto los contenidos como el mantenimiento de los enlaces a su inform</w:t>
      </w:r>
      <w:r>
        <w:rPr>
          <w:rFonts w:cstheme="minorHAnsi"/>
          <w:szCs w:val="24"/>
        </w:rPr>
        <w:t xml:space="preserve">ación en la fuente centralizada. De hecho se ha observado en el transcurso de las evaluaciones realizadas que en ocasiones el enlace a la información de la entidad en la fuente centralizada daba error.  </w:t>
      </w:r>
    </w:p>
    <w:p w:rsidR="007F0CCF" w:rsidRPr="006C3BE2" w:rsidRDefault="007F0CCF" w:rsidP="007F0CCF">
      <w:pPr>
        <w:pBdr>
          <w:top w:val="single" w:sz="8" w:space="1" w:color="226860"/>
          <w:left w:val="single" w:sz="8" w:space="4" w:color="226860"/>
          <w:bottom w:val="single" w:sz="8" w:space="1" w:color="226860"/>
          <w:right w:val="single" w:sz="8" w:space="4" w:color="226860"/>
        </w:pBdr>
        <w:tabs>
          <w:tab w:val="left" w:pos="284"/>
        </w:tabs>
        <w:spacing w:before="120" w:after="120"/>
        <w:rPr>
          <w:rFonts w:cstheme="minorHAnsi"/>
          <w:szCs w:val="24"/>
        </w:rPr>
      </w:pPr>
      <w:r w:rsidRPr="006C3BE2">
        <w:rPr>
          <w:rFonts w:cstheme="minorHAnsi"/>
          <w:szCs w:val="24"/>
        </w:rPr>
        <w:t>Por esta</w:t>
      </w:r>
      <w:r>
        <w:rPr>
          <w:rFonts w:cstheme="minorHAnsi"/>
          <w:szCs w:val="24"/>
        </w:rPr>
        <w:t>s razones</w:t>
      </w:r>
      <w:r w:rsidRPr="006C3BE2">
        <w:rPr>
          <w:rFonts w:cstheme="minorHAnsi"/>
          <w:szCs w:val="24"/>
        </w:rPr>
        <w:t xml:space="preserve"> desde este Consejo se </w:t>
      </w:r>
      <w:r>
        <w:rPr>
          <w:rFonts w:cstheme="minorHAnsi"/>
          <w:szCs w:val="24"/>
        </w:rPr>
        <w:t>insiste en recomendar</w:t>
      </w:r>
      <w:r w:rsidRPr="006C3BE2">
        <w:rPr>
          <w:rFonts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58112B" w:rsidRDefault="0058112B" w:rsidP="00D67951">
      <w:pPr>
        <w:rPr>
          <w:b/>
          <w:color w:val="325F64" w:themeColor="accent2" w:themeShade="BF"/>
        </w:rPr>
      </w:pPr>
    </w:p>
    <w:p w:rsidR="00D67951" w:rsidRPr="00631760" w:rsidRDefault="007F0CCF" w:rsidP="0058112B">
      <w:pPr>
        <w:rPr>
          <w:rFonts w:cstheme="minorHAnsi"/>
          <w:szCs w:val="24"/>
        </w:rPr>
      </w:pPr>
      <w:r>
        <w:rPr>
          <w:rFonts w:cstheme="minorHAnsi"/>
          <w:szCs w:val="24"/>
        </w:rPr>
        <w:t>Por otra parte, también se ha observado –</w:t>
      </w:r>
      <w:r w:rsidR="0075169D">
        <w:rPr>
          <w:rFonts w:cstheme="minorHAnsi"/>
          <w:szCs w:val="24"/>
        </w:rPr>
        <w:t xml:space="preserve"> </w:t>
      </w:r>
      <w:r>
        <w:rPr>
          <w:rFonts w:cstheme="minorHAnsi"/>
          <w:szCs w:val="24"/>
        </w:rPr>
        <w:t xml:space="preserve">especialmente respecto de las informaciones del bloque Institucional, </w:t>
      </w:r>
      <w:proofErr w:type="gramStart"/>
      <w:r>
        <w:rPr>
          <w:rFonts w:cstheme="minorHAnsi"/>
          <w:szCs w:val="24"/>
        </w:rPr>
        <w:t>organizativa</w:t>
      </w:r>
      <w:proofErr w:type="gramEnd"/>
      <w:r>
        <w:rPr>
          <w:rFonts w:cstheme="minorHAnsi"/>
          <w:szCs w:val="24"/>
        </w:rPr>
        <w:t xml:space="preserve"> y de planificación –</w:t>
      </w:r>
      <w:r w:rsidR="00D67951">
        <w:rPr>
          <w:rFonts w:cstheme="minorHAnsi"/>
          <w:szCs w:val="24"/>
        </w:rPr>
        <w:t xml:space="preserve"> </w:t>
      </w:r>
      <w:r>
        <w:rPr>
          <w:rFonts w:cstheme="minorHAnsi"/>
          <w:szCs w:val="24"/>
        </w:rPr>
        <w:t>que es relativamente frecuente que no</w:t>
      </w:r>
      <w:r w:rsidR="00D67951">
        <w:rPr>
          <w:rFonts w:cstheme="minorHAnsi"/>
          <w:szCs w:val="24"/>
        </w:rPr>
        <w:t xml:space="preserve"> se publique la fecha en que se revisó o actualizó por última vez la información publicada. También en ocasiones, los documentos que contienen la información no están datados.  </w:t>
      </w:r>
      <w:r w:rsidR="00D67951" w:rsidRPr="00631760">
        <w:rPr>
          <w:rFonts w:cstheme="minorHAnsi"/>
          <w:szCs w:val="24"/>
        </w:rPr>
        <w:t xml:space="preserve"> </w:t>
      </w:r>
    </w:p>
    <w:p w:rsidR="00D67951" w:rsidRDefault="007601C2" w:rsidP="00D67951">
      <w:pPr>
        <w:tabs>
          <w:tab w:val="left" w:pos="284"/>
        </w:tabs>
        <w:spacing w:before="120" w:after="120" w:line="312" w:lineRule="auto"/>
        <w:rPr>
          <w:rFonts w:cstheme="minorHAnsi"/>
          <w:szCs w:val="24"/>
        </w:rPr>
      </w:pPr>
      <w:r>
        <w:rPr>
          <w:rFonts w:cstheme="minorHAnsi"/>
          <w:szCs w:val="24"/>
        </w:rPr>
        <w:t xml:space="preserve">Al igual que en las </w:t>
      </w:r>
      <w:r w:rsidR="00CB2499">
        <w:rPr>
          <w:rFonts w:cstheme="minorHAnsi"/>
          <w:szCs w:val="24"/>
        </w:rPr>
        <w:t xml:space="preserve">observaciones a las evaluaciones precedentes a esta, </w:t>
      </w:r>
      <w:r w:rsidR="00CA1FF0">
        <w:rPr>
          <w:rFonts w:cstheme="minorHAnsi"/>
          <w:szCs w:val="24"/>
        </w:rPr>
        <w:t>a</w:t>
      </w:r>
      <w:r w:rsidR="00CA1FF0" w:rsidRPr="00CA1FF0">
        <w:rPr>
          <w:rFonts w:cstheme="minorHAnsi"/>
          <w:szCs w:val="24"/>
        </w:rPr>
        <w:t xml:space="preserve">lgunas </w:t>
      </w:r>
      <w:r w:rsidR="007F0CCF">
        <w:rPr>
          <w:rFonts w:cstheme="minorHAnsi"/>
          <w:szCs w:val="24"/>
        </w:rPr>
        <w:t>instituciones</w:t>
      </w:r>
      <w:r w:rsidR="00CA1FF0" w:rsidRPr="00CA1FF0">
        <w:rPr>
          <w:rFonts w:cstheme="minorHAnsi"/>
          <w:szCs w:val="24"/>
        </w:rPr>
        <w:t xml:space="preserve"> han señalado, que la información contenida en </w:t>
      </w:r>
      <w:r w:rsidR="003A6B5E">
        <w:rPr>
          <w:rFonts w:cstheme="minorHAnsi"/>
          <w:szCs w:val="24"/>
        </w:rPr>
        <w:t>su</w:t>
      </w:r>
      <w:r w:rsidR="00CA1FF0" w:rsidRPr="00CA1FF0">
        <w:rPr>
          <w:rFonts w:cstheme="minorHAnsi"/>
          <w:szCs w:val="24"/>
        </w:rPr>
        <w:t xml:space="preserve"> Portal </w:t>
      </w:r>
      <w:r w:rsidR="003A6B5E">
        <w:rPr>
          <w:rFonts w:cstheme="minorHAnsi"/>
          <w:szCs w:val="24"/>
        </w:rPr>
        <w:t xml:space="preserve">de Transparencia </w:t>
      </w:r>
      <w:r w:rsidR="00475A84">
        <w:rPr>
          <w:rFonts w:cstheme="minorHAnsi"/>
          <w:szCs w:val="24"/>
        </w:rPr>
        <w:t>se actualiza constantemente</w:t>
      </w:r>
      <w:r w:rsidR="00CA1FF0" w:rsidRPr="00CA1FF0">
        <w:rPr>
          <w:rFonts w:cstheme="minorHAnsi"/>
          <w:szCs w:val="24"/>
        </w:rPr>
        <w:t xml:space="preserve"> o que determinadas informaciones – por ejemplo, las del bloque Institucional</w:t>
      </w:r>
      <w:r w:rsidR="0058112B">
        <w:rPr>
          <w:rFonts w:cstheme="minorHAnsi"/>
          <w:szCs w:val="24"/>
        </w:rPr>
        <w:t xml:space="preserve"> y</w:t>
      </w:r>
      <w:r w:rsidR="00CA1FF0" w:rsidRPr="00CA1FF0">
        <w:rPr>
          <w:rFonts w:cstheme="minorHAnsi"/>
          <w:szCs w:val="24"/>
        </w:rPr>
        <w:t xml:space="preserve"> Organizativa</w:t>
      </w:r>
      <w:r w:rsidR="003A6B5E">
        <w:rPr>
          <w:rFonts w:cstheme="minorHAnsi"/>
          <w:szCs w:val="24"/>
        </w:rPr>
        <w:t xml:space="preserve"> </w:t>
      </w:r>
      <w:r w:rsidR="00CA1FF0" w:rsidRPr="00CA1FF0">
        <w:rPr>
          <w:rFonts w:cstheme="minorHAnsi"/>
          <w:szCs w:val="24"/>
        </w:rPr>
        <w:t xml:space="preserve">– son muy estables y que no requieren una actualización frecuente. </w:t>
      </w:r>
    </w:p>
    <w:p w:rsidR="00CA1FF0" w:rsidRDefault="00CA1FF0" w:rsidP="00CA1FF0">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sidRPr="00A57F5B">
        <w:rPr>
          <w:rFonts w:cstheme="minorHAnsi"/>
          <w:szCs w:val="24"/>
        </w:rPr>
        <w:t>Respecto de la</w:t>
      </w:r>
      <w:r>
        <w:rPr>
          <w:rFonts w:cstheme="minorHAnsi"/>
          <w:szCs w:val="24"/>
        </w:rPr>
        <w:t>s dos</w:t>
      </w:r>
      <w:r w:rsidRPr="00A57F5B">
        <w:rPr>
          <w:rFonts w:cstheme="minorHAnsi"/>
          <w:szCs w:val="24"/>
        </w:rPr>
        <w:t xml:space="preserve"> primera</w:t>
      </w:r>
      <w:r>
        <w:rPr>
          <w:rFonts w:cstheme="minorHAnsi"/>
          <w:szCs w:val="24"/>
        </w:rPr>
        <w:t>s</w:t>
      </w:r>
      <w:r w:rsidRPr="00A57F5B">
        <w:rPr>
          <w:rFonts w:cstheme="minorHAnsi"/>
          <w:szCs w:val="24"/>
        </w:rPr>
        <w:t xml:space="preserve"> cuesti</w:t>
      </w:r>
      <w:r>
        <w:rPr>
          <w:rFonts w:cstheme="minorHAnsi"/>
          <w:szCs w:val="24"/>
        </w:rPr>
        <w:t>ones</w:t>
      </w:r>
      <w:r w:rsidRPr="00A57F5B">
        <w:rPr>
          <w:rFonts w:cstheme="minorHAnsi"/>
          <w:szCs w:val="24"/>
        </w:rPr>
        <w:t xml:space="preserve">, </w:t>
      </w:r>
      <w:r>
        <w:rPr>
          <w:rFonts w:cstheme="minorHAnsi"/>
          <w:szCs w:val="24"/>
        </w:rPr>
        <w:t xml:space="preserve">actualización permanente o estabilidad en el tiempo de determinadas informaciones, </w:t>
      </w:r>
      <w:r w:rsidRPr="00A57F5B">
        <w:rPr>
          <w:rFonts w:cstheme="minorHAnsi"/>
          <w:szCs w:val="24"/>
        </w:rPr>
        <w:t>es preciso señalar que la única posibilidad que tienen los ciudadanos</w:t>
      </w:r>
      <w:r>
        <w:rPr>
          <w:rFonts w:cstheme="minorHAnsi"/>
          <w:szCs w:val="24"/>
        </w:rPr>
        <w:t xml:space="preserve"> – también los evaluadores -</w:t>
      </w:r>
      <w:r w:rsidRPr="00A57F5B">
        <w:rPr>
          <w:rFonts w:cstheme="minorHAnsi"/>
          <w:szCs w:val="24"/>
        </w:rPr>
        <w:t xml:space="preserve"> de saber si la información publicada está vigente o no, es que en </w:t>
      </w:r>
      <w:r>
        <w:rPr>
          <w:rFonts w:cstheme="minorHAnsi"/>
          <w:szCs w:val="24"/>
        </w:rPr>
        <w:t>el</w:t>
      </w:r>
      <w:r w:rsidRPr="00A57F5B">
        <w:rPr>
          <w:rFonts w:cstheme="minorHAnsi"/>
          <w:szCs w:val="24"/>
        </w:rPr>
        <w:t xml:space="preserve"> Portal </w:t>
      </w:r>
      <w:r>
        <w:rPr>
          <w:rFonts w:cstheme="minorHAnsi"/>
          <w:szCs w:val="24"/>
        </w:rPr>
        <w:t xml:space="preserve">de Transparencia </w:t>
      </w:r>
      <w:r w:rsidRPr="00A57F5B">
        <w:rPr>
          <w:rFonts w:cstheme="minorHAnsi"/>
          <w:szCs w:val="24"/>
        </w:rPr>
        <w:t xml:space="preserve">se indique expresamente. En este sentido bastaría con que en la página inicial se mostrase la fecha de la última revisión o actualización </w:t>
      </w:r>
      <w:r>
        <w:rPr>
          <w:rFonts w:cstheme="minorHAnsi"/>
          <w:szCs w:val="24"/>
        </w:rPr>
        <w:t xml:space="preserve">de la información contenida en </w:t>
      </w:r>
      <w:r w:rsidRPr="00A57F5B">
        <w:rPr>
          <w:rFonts w:cstheme="minorHAnsi"/>
          <w:szCs w:val="24"/>
        </w:rPr>
        <w:t>el Portal.</w:t>
      </w:r>
    </w:p>
    <w:p w:rsidR="00D67951" w:rsidRDefault="00D67951" w:rsidP="00D67951">
      <w:pPr>
        <w:jc w:val="left"/>
      </w:pPr>
    </w:p>
    <w:p w:rsidR="00D67951" w:rsidRDefault="00D67951" w:rsidP="00D67951">
      <w:pPr>
        <w:rPr>
          <w:b/>
          <w:color w:val="325F64" w:themeColor="accent2" w:themeShade="BF"/>
        </w:rPr>
      </w:pPr>
      <w:r w:rsidRPr="004612EB">
        <w:rPr>
          <w:b/>
          <w:color w:val="325F64" w:themeColor="accent2" w:themeShade="BF"/>
        </w:rPr>
        <w:t>E</w:t>
      </w:r>
      <w:r>
        <w:rPr>
          <w:b/>
          <w:color w:val="325F64" w:themeColor="accent2" w:themeShade="BF"/>
        </w:rPr>
        <w:t>n promedio e</w:t>
      </w:r>
      <w:r w:rsidRPr="004612EB">
        <w:rPr>
          <w:b/>
          <w:color w:val="325F64" w:themeColor="accent2" w:themeShade="BF"/>
        </w:rPr>
        <w:t>l índice de Cumplimiento de</w:t>
      </w:r>
      <w:r>
        <w:rPr>
          <w:b/>
          <w:color w:val="325F64" w:themeColor="accent2" w:themeShade="BF"/>
        </w:rPr>
        <w:t xml:space="preserve"> </w:t>
      </w:r>
      <w:r w:rsidRPr="004612EB">
        <w:rPr>
          <w:b/>
          <w:color w:val="325F64" w:themeColor="accent2" w:themeShade="BF"/>
        </w:rPr>
        <w:t>la Información Obligatoria (ICIO)</w:t>
      </w:r>
      <w:r>
        <w:rPr>
          <w:b/>
          <w:color w:val="325F64" w:themeColor="accent2" w:themeShade="BF"/>
        </w:rPr>
        <w:t xml:space="preserve"> alcanza un</w:t>
      </w:r>
      <w:r w:rsidR="00CA1FF0">
        <w:rPr>
          <w:b/>
          <w:color w:val="325F64" w:themeColor="accent2" w:themeShade="BF"/>
        </w:rPr>
        <w:t xml:space="preserve"> </w:t>
      </w:r>
      <w:r w:rsidR="007F0CCF">
        <w:rPr>
          <w:b/>
          <w:color w:val="325F64" w:themeColor="accent2" w:themeShade="BF"/>
        </w:rPr>
        <w:t>80,3%</w:t>
      </w:r>
      <w:r w:rsidR="00326302">
        <w:rPr>
          <w:b/>
          <w:color w:val="325F64" w:themeColor="accent2" w:themeShade="BF"/>
        </w:rPr>
        <w:t>, el más elevado de todos los grupos de sujetos obligados evaluados a lo largo de</w:t>
      </w:r>
      <w:r w:rsidR="0075169D">
        <w:rPr>
          <w:b/>
          <w:color w:val="325F64" w:themeColor="accent2" w:themeShade="BF"/>
        </w:rPr>
        <w:t xml:space="preserve"> </w:t>
      </w:r>
      <w:r w:rsidR="00326302">
        <w:rPr>
          <w:b/>
          <w:color w:val="325F64" w:themeColor="accent2" w:themeShade="BF"/>
        </w:rPr>
        <w:t>2021</w:t>
      </w:r>
      <w:r>
        <w:rPr>
          <w:b/>
          <w:color w:val="325F64" w:themeColor="accent2" w:themeShade="BF"/>
        </w:rPr>
        <w:t xml:space="preserve">. </w:t>
      </w:r>
    </w:p>
    <w:p w:rsidR="00D67951" w:rsidRDefault="0058112B" w:rsidP="00D67951">
      <w:pPr>
        <w:rPr>
          <w:rFonts w:cstheme="minorHAnsi"/>
          <w:szCs w:val="24"/>
        </w:rPr>
      </w:pPr>
      <w:r>
        <w:rPr>
          <w:rFonts w:cstheme="minorHAnsi"/>
          <w:szCs w:val="24"/>
        </w:rPr>
        <w:t>No obstante</w:t>
      </w:r>
      <w:r w:rsidR="00326302">
        <w:rPr>
          <w:rFonts w:cstheme="minorHAnsi"/>
          <w:szCs w:val="24"/>
        </w:rPr>
        <w:t>, es preciso señalar que la diferencia entre la Comunidad o Ciudad Autónoma con</w:t>
      </w:r>
      <w:r>
        <w:rPr>
          <w:rFonts w:cstheme="minorHAnsi"/>
          <w:szCs w:val="24"/>
        </w:rPr>
        <w:t xml:space="preserve"> el Índice de Cumplimiento </w:t>
      </w:r>
      <w:r w:rsidR="00326302">
        <w:rPr>
          <w:rFonts w:cstheme="minorHAnsi"/>
          <w:szCs w:val="24"/>
        </w:rPr>
        <w:t>más elevado y la que alcanza un menor cumplimiento es de casi 35 puntos porcentuales, por lo que algunas de las instituciones evaluadas presentan un amplio margen de mejora</w:t>
      </w:r>
      <w:r>
        <w:rPr>
          <w:rFonts w:cstheme="minorHAnsi"/>
          <w:szCs w:val="24"/>
        </w:rPr>
        <w:t xml:space="preserve">. </w:t>
      </w:r>
      <w:r w:rsidR="00326302">
        <w:rPr>
          <w:rFonts w:cstheme="minorHAnsi"/>
          <w:szCs w:val="24"/>
        </w:rPr>
        <w:t xml:space="preserve">Tres Comunidades </w:t>
      </w:r>
      <w:r w:rsidR="00326302">
        <w:rPr>
          <w:rFonts w:cstheme="minorHAnsi"/>
          <w:szCs w:val="24"/>
        </w:rPr>
        <w:lastRenderedPageBreak/>
        <w:t>Autónomas – Cantabria, Castilla La Mancha y el Principado de Asturias  - alcanzan niveles de cumplimiento superiores al 93%.</w:t>
      </w:r>
    </w:p>
    <w:p w:rsidR="0075169D" w:rsidRDefault="0075169D" w:rsidP="00D67951">
      <w:pPr>
        <w:rPr>
          <w:rFonts w:cstheme="minorHAnsi"/>
          <w:szCs w:val="24"/>
        </w:rPr>
      </w:pPr>
      <w:r>
        <w:rPr>
          <w:rFonts w:cstheme="minorHAnsi"/>
          <w:szCs w:val="24"/>
        </w:rPr>
        <w:t xml:space="preserve">Respecto de 2020, la mejoría es evidente: un 11% de incremento. </w:t>
      </w:r>
    </w:p>
    <w:p w:rsidR="0075169D" w:rsidRDefault="0075169D">
      <w:pPr>
        <w:jc w:val="left"/>
        <w:rPr>
          <w:rFonts w:cstheme="minorHAnsi"/>
          <w:szCs w:val="24"/>
        </w:rPr>
      </w:pPr>
      <w:r>
        <w:rPr>
          <w:rFonts w:cstheme="minorHAnsi"/>
          <w:szCs w:val="24"/>
        </w:rPr>
        <w:br w:type="page"/>
      </w:r>
      <w:bookmarkStart w:id="23" w:name="_GoBack"/>
      <w:bookmarkEnd w:id="23"/>
    </w:p>
    <w:p w:rsidR="00794A50" w:rsidRPr="00794A50" w:rsidRDefault="00694E55" w:rsidP="00794A50">
      <w:pPr>
        <w:spacing w:line="240" w:lineRule="auto"/>
        <w:jc w:val="center"/>
        <w:rPr>
          <w:rFonts w:eastAsia="Times New Roman" w:cs="Times New Roman"/>
          <w:b/>
          <w:color w:val="000000"/>
          <w:sz w:val="30"/>
          <w:szCs w:val="30"/>
          <w:lang w:eastAsia="en-US"/>
        </w:rPr>
      </w:pPr>
      <w:sdt>
        <w:sdtPr>
          <w:rPr>
            <w:rFonts w:eastAsia="Times New Roman" w:cs="Times New Roman"/>
            <w:b/>
            <w:color w:val="438086" w:themeColor="accent2"/>
            <w:sz w:val="30"/>
            <w:szCs w:val="30"/>
            <w:lang w:eastAsia="en-US"/>
          </w:rPr>
          <w:id w:val="1557966967"/>
        </w:sdtPr>
        <w:sdtEndPr>
          <w:rPr>
            <w:color w:val="auto"/>
          </w:rPr>
        </w:sdtEndPr>
        <w:sdtContent>
          <w:r w:rsidR="00794A50" w:rsidRPr="00FF20A2">
            <w:rPr>
              <w:rFonts w:eastAsia="Times New Roman" w:cs="Times New Roman"/>
              <w:b/>
              <w:color w:val="438086" w:themeColor="accent2"/>
              <w:sz w:val="30"/>
              <w:szCs w:val="30"/>
              <w:lang w:eastAsia="en-US"/>
            </w:rPr>
            <w:t xml:space="preserve">Anexo: Criterios de medición de los atributos de la </w:t>
          </w:r>
          <w:r w:rsidR="00384774">
            <w:rPr>
              <w:rFonts w:eastAsia="Times New Roman" w:cs="Times New Roman"/>
              <w:b/>
              <w:color w:val="438086" w:themeColor="accent2"/>
              <w:sz w:val="30"/>
              <w:szCs w:val="30"/>
              <w:lang w:eastAsia="en-US"/>
            </w:rPr>
            <w:t>i</w:t>
          </w:r>
          <w:r w:rsidR="00794A50" w:rsidRPr="00FF20A2">
            <w:rPr>
              <w:rFonts w:eastAsia="Times New Roman" w:cs="Times New Roman"/>
              <w:b/>
              <w:color w:val="438086" w:themeColor="accent2"/>
              <w:sz w:val="30"/>
              <w:szCs w:val="30"/>
              <w:lang w:eastAsia="en-US"/>
            </w:rPr>
            <w:t>nformación</w:t>
          </w:r>
        </w:sdtContent>
      </w:sdt>
    </w:p>
    <w:tbl>
      <w:tblPr>
        <w:tblW w:w="5694" w:type="pct"/>
        <w:tblInd w:w="-497" w:type="dxa"/>
        <w:tblCellMar>
          <w:left w:w="70" w:type="dxa"/>
          <w:right w:w="70" w:type="dxa"/>
        </w:tblCellMar>
        <w:tblLook w:val="04A0" w:firstRow="1" w:lastRow="0" w:firstColumn="1" w:lastColumn="0" w:noHBand="0" w:noVBand="1"/>
      </w:tblPr>
      <w:tblGrid>
        <w:gridCol w:w="1929"/>
        <w:gridCol w:w="1519"/>
        <w:gridCol w:w="2381"/>
        <w:gridCol w:w="668"/>
        <w:gridCol w:w="3992"/>
      </w:tblGrid>
      <w:tr w:rsidR="00794A50" w:rsidRPr="00794A50" w:rsidTr="00384774">
        <w:trPr>
          <w:trHeight w:val="300"/>
        </w:trPr>
        <w:tc>
          <w:tcPr>
            <w:tcW w:w="919"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PRINCIPIOS GENERALES</w:t>
            </w:r>
          </w:p>
        </w:tc>
        <w:tc>
          <w:tcPr>
            <w:tcW w:w="724"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CRITERIO</w:t>
            </w:r>
          </w:p>
        </w:tc>
        <w:tc>
          <w:tcPr>
            <w:tcW w:w="1135"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DESCRIPCION</w:t>
            </w:r>
          </w:p>
        </w:tc>
        <w:tc>
          <w:tcPr>
            <w:tcW w:w="318"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VALOR</w:t>
            </w:r>
          </w:p>
        </w:tc>
        <w:tc>
          <w:tcPr>
            <w:tcW w:w="1903"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SIGNIFICADO</w:t>
            </w:r>
          </w:p>
        </w:tc>
      </w:tr>
      <w:tr w:rsidR="00794A50" w:rsidRPr="00794A50" w:rsidTr="00384774">
        <w:trPr>
          <w:trHeight w:val="514"/>
        </w:trPr>
        <w:tc>
          <w:tcPr>
            <w:tcW w:w="9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PUBLICACIÓN</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CONTENIDO</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obliga su publicación por la Ley19/21013</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SI se publica el contenido de la obligación exigida</w:t>
            </w:r>
          </w:p>
        </w:tc>
      </w:tr>
      <w:tr w:rsidR="00794A50" w:rsidRPr="00794A50" w:rsidTr="00384774">
        <w:trPr>
          <w:trHeight w:val="323"/>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publica el contenido de la obligación exigida</w:t>
            </w:r>
          </w:p>
        </w:tc>
      </w:tr>
      <w:tr w:rsidR="00794A50" w:rsidRPr="00794A50" w:rsidTr="00384774">
        <w:trPr>
          <w:trHeight w:val="427"/>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Modo de presentar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DIRECTA en la misma web o con enlace directo a la información</w:t>
            </w:r>
          </w:p>
        </w:tc>
      </w:tr>
      <w:tr w:rsidR="00794A50" w:rsidRPr="00794A50" w:rsidTr="00384774">
        <w:trPr>
          <w:trHeight w:val="419"/>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INDIRECTA pero sin dirigir a la información a la que se refiere</w:t>
            </w:r>
          </w:p>
        </w:tc>
      </w:tr>
      <w:tr w:rsidR="00794A50" w:rsidRPr="00794A50" w:rsidTr="00384774">
        <w:trPr>
          <w:trHeight w:val="411"/>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ACTUALIZACIÓN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identifica la fecha de datación de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y está dentro de los TRES meses previos a la fecha de consulta</w:t>
            </w:r>
          </w:p>
        </w:tc>
      </w:tr>
      <w:tr w:rsidR="00794A50" w:rsidRPr="00794A50" w:rsidTr="00384774">
        <w:trPr>
          <w:trHeight w:val="416"/>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pero NO ESTA ACTUALIZADO dentro de los tres meses</w:t>
            </w:r>
          </w:p>
        </w:tc>
      </w:tr>
      <w:tr w:rsidR="00794A50" w:rsidRPr="00794A50" w:rsidTr="00384774">
        <w:trPr>
          <w:trHeight w:val="422"/>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CONOCE la fecha de publicación de la información</w:t>
            </w:r>
          </w:p>
        </w:tc>
      </w:tr>
      <w:tr w:rsidR="00794A50" w:rsidRPr="00794A50" w:rsidTr="00384774">
        <w:trPr>
          <w:trHeight w:val="300"/>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ATRIBUTOS</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ACCESIBILIDAD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Número de clics para acceder a la información desde la página principal de transparencia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3 clics como máximo</w:t>
            </w:r>
          </w:p>
        </w:tc>
      </w:tr>
      <w:tr w:rsidR="00794A50" w:rsidRPr="00794A50" w:rsidTr="00384774">
        <w:trPr>
          <w:trHeight w:val="1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4</w:t>
            </w:r>
          </w:p>
        </w:tc>
      </w:tr>
      <w:tr w:rsidR="00794A50" w:rsidRPr="00794A50" w:rsidTr="00384774">
        <w:trPr>
          <w:trHeight w:val="24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5</w:t>
            </w:r>
          </w:p>
        </w:tc>
      </w:tr>
      <w:tr w:rsidR="00794A50" w:rsidRPr="00794A50" w:rsidTr="00384774">
        <w:trPr>
          <w:trHeight w:val="26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6</w:t>
            </w:r>
          </w:p>
        </w:tc>
      </w:tr>
      <w:tr w:rsidR="00794A50" w:rsidRPr="00794A50" w:rsidTr="00384774">
        <w:trPr>
          <w:trHeight w:val="28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7</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8</w:t>
            </w:r>
          </w:p>
        </w:tc>
      </w:tr>
      <w:tr w:rsidR="00794A50" w:rsidRPr="00794A50" w:rsidTr="00384774">
        <w:trPr>
          <w:trHeight w:val="13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9</w:t>
            </w:r>
          </w:p>
        </w:tc>
      </w:tr>
      <w:tr w:rsidR="00794A50" w:rsidRPr="00794A50" w:rsidTr="00384774">
        <w:trPr>
          <w:trHeight w:val="20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10</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11</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12</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Más de 12 clics</w:t>
            </w:r>
          </w:p>
        </w:tc>
      </w:tr>
      <w:tr w:rsidR="00794A50" w:rsidRPr="00794A50" w:rsidTr="00384774">
        <w:trPr>
          <w:trHeight w:val="26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CLARIDAD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Lenguaje fácil de entender por el público general. La información compleja se acompaña de comentarios, glosarios, textos introductorios o similares</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MUY comprensible o con ayudas, en su caso</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Comprensible</w:t>
            </w:r>
          </w:p>
        </w:tc>
      </w:tr>
      <w:tr w:rsidR="00794A50" w:rsidRPr="00794A50" w:rsidTr="00384774">
        <w:trPr>
          <w:trHeight w:val="25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Normal</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Poco comprensible</w:t>
            </w:r>
          </w:p>
        </w:tc>
      </w:tr>
      <w:tr w:rsidR="00794A50" w:rsidRPr="00794A50" w:rsidTr="00384774">
        <w:trPr>
          <w:trHeight w:val="18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Difícilmente comprensible</w:t>
            </w:r>
          </w:p>
        </w:tc>
      </w:tr>
      <w:tr w:rsidR="00794A50" w:rsidRPr="00794A50" w:rsidTr="00384774">
        <w:trPr>
          <w:trHeight w:val="24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12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NADA comprensible</w:t>
            </w:r>
          </w:p>
        </w:tc>
      </w:tr>
      <w:tr w:rsidR="00794A50" w:rsidRPr="00794A50" w:rsidTr="00384774">
        <w:trPr>
          <w:trHeight w:val="57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ESTRUCTURACIÓN</w:t>
            </w:r>
          </w:p>
        </w:tc>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Información organizada siguiendo una lógica clara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encuentra ordenada en grupos de materias, temáticas o de acuerdo con los bloques o grupos de información de la ley</w:t>
            </w:r>
          </w:p>
        </w:tc>
      </w:tr>
      <w:tr w:rsidR="00794A50" w:rsidRPr="00794A50" w:rsidTr="00384774">
        <w:trPr>
          <w:trHeight w:val="42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presenta dispersa sin agrupación ni ordenación alguna</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Reutilización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Formatos según Ley 37/2007</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Es un formato reutilizable establecido</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es un formato reutilizable</w:t>
            </w:r>
          </w:p>
        </w:tc>
      </w:tr>
      <w:tr w:rsidR="00794A50" w:rsidRPr="00794A50" w:rsidTr="00384774">
        <w:trPr>
          <w:trHeight w:val="343"/>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WEB</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LUGAR PUBLICACION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Dónde quedan publicadas las obligaciones de publicidad activa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o banner en la página inicial del sitio</w:t>
            </w:r>
          </w:p>
        </w:tc>
      </w:tr>
      <w:tr w:rsidR="00794A50" w:rsidRPr="00794A50" w:rsidTr="00384774">
        <w:trPr>
          <w:trHeight w:val="362"/>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pero NO en la página de inicio</w:t>
            </w:r>
          </w:p>
        </w:tc>
      </w:tr>
      <w:tr w:rsidR="00794A50" w:rsidRPr="00794A50" w:rsidTr="00384774">
        <w:trPr>
          <w:trHeight w:val="6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existe un apartado específico de transparencia</w:t>
            </w:r>
          </w:p>
        </w:tc>
      </w:tr>
    </w:tbl>
    <w:p w:rsidR="00794A50" w:rsidRPr="00596EDD" w:rsidRDefault="00794A50" w:rsidP="00596EDD"/>
    <w:sectPr w:rsidR="00794A50" w:rsidRPr="00596EDD">
      <w:headerReference w:type="even" r:id="rId18"/>
      <w:headerReference w:type="default" r:id="rId19"/>
      <w:footerReference w:type="even" r:id="rId20"/>
      <w:footerReference w:type="default" r:id="rId21"/>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D1" w:rsidRDefault="00E334D1">
      <w:pPr>
        <w:spacing w:after="0" w:line="240" w:lineRule="auto"/>
      </w:pPr>
      <w:r>
        <w:separator/>
      </w:r>
    </w:p>
  </w:endnote>
  <w:endnote w:type="continuationSeparator" w:id="0">
    <w:p w:rsidR="00E334D1" w:rsidRDefault="00E3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1" w:rsidRDefault="00E334D1">
    <w:r>
      <w:fldChar w:fldCharType="begin"/>
    </w:r>
    <w:r>
      <w:instrText>PAGE   \* MERGEFORMAT</w:instrText>
    </w:r>
    <w:r>
      <w:fldChar w:fldCharType="separate"/>
    </w:r>
    <w:r w:rsidR="0075169D">
      <w:rPr>
        <w:noProof/>
      </w:rPr>
      <w:t>14</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E334D1">
      <w:trPr>
        <w:trHeight w:hRule="exact" w:val="72"/>
      </w:trPr>
      <w:tc>
        <w:tcPr>
          <w:tcW w:w="2718" w:type="dxa"/>
          <w:tcBorders>
            <w:top w:val="single" w:sz="12" w:space="0" w:color="438086" w:themeColor="accent2"/>
            <w:bottom w:val="single" w:sz="2" w:space="0" w:color="438086" w:themeColor="accent2"/>
          </w:tcBorders>
        </w:tcPr>
        <w:p w:rsidR="00E334D1" w:rsidRDefault="00E334D1">
          <w:pPr>
            <w:pStyle w:val="Sinespaciado"/>
          </w:pPr>
        </w:p>
      </w:tc>
      <w:tc>
        <w:tcPr>
          <w:tcW w:w="1017" w:type="dxa"/>
          <w:tcBorders>
            <w:bottom w:val="single" w:sz="2" w:space="0" w:color="438086" w:themeColor="accent2"/>
          </w:tcBorders>
        </w:tcPr>
        <w:p w:rsidR="00E334D1" w:rsidRDefault="00E334D1">
          <w:pPr>
            <w:pStyle w:val="Sinespaciado"/>
          </w:pPr>
        </w:p>
      </w:tc>
    </w:tr>
  </w:tbl>
  <w:p w:rsidR="00E334D1" w:rsidRDefault="00E334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1" w:rsidRPr="008876B2" w:rsidRDefault="00E334D1">
    <w:pPr>
      <w:jc w:val="right"/>
    </w:pPr>
    <w:r>
      <w:t>CTBG. Subdirección General de Transparencia y Buen Gobierno</w:t>
    </w:r>
    <w:r w:rsidRPr="008876B2">
      <w:t xml:space="preserve">.  </w:t>
    </w:r>
    <w:r w:rsidRPr="008876B2">
      <w:fldChar w:fldCharType="begin"/>
    </w:r>
    <w:r w:rsidRPr="008876B2">
      <w:instrText>PAGE   \* MERGEFORMAT</w:instrText>
    </w:r>
    <w:r w:rsidRPr="008876B2">
      <w:fldChar w:fldCharType="separate"/>
    </w:r>
    <w:r w:rsidR="0075169D">
      <w:rPr>
        <w:noProof/>
      </w:rPr>
      <w:t>15</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44"/>
      <w:gridCol w:w="2578"/>
    </w:tblGrid>
    <w:tr w:rsidR="00E334D1">
      <w:trPr>
        <w:trHeight w:hRule="exact" w:val="72"/>
        <w:jc w:val="right"/>
      </w:trPr>
      <w:tc>
        <w:tcPr>
          <w:tcW w:w="1098" w:type="dxa"/>
          <w:tcBorders>
            <w:bottom w:val="single" w:sz="2" w:space="0" w:color="438086" w:themeColor="accent2"/>
          </w:tcBorders>
        </w:tcPr>
        <w:p w:rsidR="00E334D1" w:rsidRDefault="00E334D1">
          <w:pPr>
            <w:pStyle w:val="Sinespaciado"/>
          </w:pPr>
        </w:p>
      </w:tc>
      <w:tc>
        <w:tcPr>
          <w:tcW w:w="2732" w:type="dxa"/>
          <w:tcBorders>
            <w:top w:val="single" w:sz="12" w:space="0" w:color="438086" w:themeColor="accent2"/>
            <w:bottom w:val="single" w:sz="2" w:space="0" w:color="438086" w:themeColor="accent2"/>
          </w:tcBorders>
        </w:tcPr>
        <w:p w:rsidR="00E334D1" w:rsidRDefault="00E334D1">
          <w:pPr>
            <w:pStyle w:val="Sinespaciado"/>
          </w:pPr>
        </w:p>
      </w:tc>
    </w:tr>
  </w:tbl>
  <w:p w:rsidR="00E334D1" w:rsidRDefault="00E33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D1" w:rsidRDefault="00E334D1">
      <w:pPr>
        <w:spacing w:after="0" w:line="240" w:lineRule="auto"/>
      </w:pPr>
      <w:r>
        <w:separator/>
      </w:r>
    </w:p>
  </w:footnote>
  <w:footnote w:type="continuationSeparator" w:id="0">
    <w:p w:rsidR="00E334D1" w:rsidRDefault="00E33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Content>
      <w:p w:rsidR="00E334D1" w:rsidRDefault="00E334D1" w:rsidP="006219DA">
        <w:pPr>
          <w:pStyle w:val="Encabezado"/>
          <w:pBdr>
            <w:bottom w:val="single" w:sz="4" w:space="0" w:color="auto"/>
          </w:pBdr>
          <w:jc w:val="right"/>
        </w:pPr>
        <w:r>
          <w:t>CTBG. Subdirección General de Transparencia y Buen Gobierno.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D1" w:rsidRPr="008876B2" w:rsidRDefault="00E334D1" w:rsidP="00D74601">
    <w:pPr>
      <w:pStyle w:val="Listaconvietas"/>
      <w:numPr>
        <w:ilvl w:val="0"/>
        <w:numId w:val="0"/>
      </w:numPr>
      <w:ind w:left="360"/>
    </w:pPr>
    <w:r w:rsidRPr="008876B2">
      <w:t>Plan de e</w:t>
    </w:r>
    <w:r>
      <w:t>valuación 2021. Evaluación de las Comunidades Autónomas</w:t>
    </w:r>
    <w:r w:rsidRPr="008876B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pt;height:9pt" o:bullet="t">
        <v:imagedata r:id="rId1" o:title="BD14533_"/>
      </v:shape>
    </w:pict>
  </w:numPicBullet>
  <w:numPicBullet w:numPicBulletId="1">
    <w:pict>
      <v:shape id="_x0000_i1106" type="#_x0000_t75" style="width:9pt;height:9pt" o:bullet="t">
        <v:imagedata r:id="rId2" o:title="BD10268_"/>
      </v:shape>
    </w:pict>
  </w:numPicBullet>
  <w:numPicBullet w:numPicBulletId="2">
    <w:pict>
      <v:shape id="_x0000_i1107" type="#_x0000_t75" style="width:11.25pt;height:11.25pt" o:bullet="t">
        <v:imagedata r:id="rId3" o:title="BD14529_"/>
      </v:shape>
    </w:pict>
  </w:numPicBullet>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4FD4F5F6"/>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Listaconvietasurbana"/>
  </w:abstractNum>
  <w:abstractNum w:abstractNumId="11">
    <w:nsid w:val="0482200E"/>
    <w:multiLevelType w:val="hybridMultilevel"/>
    <w:tmpl w:val="E6C6F8CE"/>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C38E4"/>
    <w:multiLevelType w:val="multilevel"/>
    <w:tmpl w:val="33B056D0"/>
    <w:numStyleLink w:val="Listaconvietasurbana"/>
  </w:abstractNum>
  <w:abstractNum w:abstractNumId="13">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4">
    <w:nsid w:val="12796372"/>
    <w:multiLevelType w:val="hybridMultilevel"/>
    <w:tmpl w:val="D1821594"/>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9550593"/>
    <w:multiLevelType w:val="hybridMultilevel"/>
    <w:tmpl w:val="1E423E76"/>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7">
    <w:nsid w:val="1A6C5517"/>
    <w:multiLevelType w:val="multilevel"/>
    <w:tmpl w:val="7AC6A14E"/>
    <w:numStyleLink w:val="Listanumeradaurbana"/>
  </w:abstractNum>
  <w:abstractNum w:abstractNumId="18">
    <w:nsid w:val="1DDE73E0"/>
    <w:multiLevelType w:val="multilevel"/>
    <w:tmpl w:val="33B056D0"/>
    <w:numStyleLink w:val="Listaconvietasurbana"/>
  </w:abstractNum>
  <w:abstractNum w:abstractNumId="19">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0">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3F3C2F38"/>
    <w:multiLevelType w:val="hybridMultilevel"/>
    <w:tmpl w:val="889E75E6"/>
    <w:lvl w:ilvl="0" w:tplc="2C9837E4">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3303F17"/>
    <w:multiLevelType w:val="hybridMultilevel"/>
    <w:tmpl w:val="4000B040"/>
    <w:lvl w:ilvl="0" w:tplc="A6C453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9">
    <w:nsid w:val="57911FB4"/>
    <w:multiLevelType w:val="hybridMultilevel"/>
    <w:tmpl w:val="D6B69FD2"/>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ECA42F2"/>
    <w:multiLevelType w:val="hybridMultilevel"/>
    <w:tmpl w:val="F60CC51C"/>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C70A48"/>
    <w:multiLevelType w:val="hybridMultilevel"/>
    <w:tmpl w:val="60F65B56"/>
    <w:lvl w:ilvl="0" w:tplc="59F6C5FA">
      <w:start w:val="5"/>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751600"/>
    <w:multiLevelType w:val="hybridMultilevel"/>
    <w:tmpl w:val="38F8EBC4"/>
    <w:lvl w:ilvl="0" w:tplc="5C1E6DF8">
      <w:start w:val="1"/>
      <w:numFmt w:val="upperRoman"/>
      <w:lvlText w:val="%1."/>
      <w:lvlJc w:val="left"/>
      <w:pPr>
        <w:ind w:left="1146"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3E8022B"/>
    <w:multiLevelType w:val="multilevel"/>
    <w:tmpl w:val="33B056D0"/>
    <w:numStyleLink w:val="Listaconvietasurbana"/>
  </w:abstractNum>
  <w:abstractNum w:abstractNumId="34">
    <w:nsid w:val="6F0D0B31"/>
    <w:multiLevelType w:val="multilevel"/>
    <w:tmpl w:val="7AC6A14E"/>
    <w:numStyleLink w:val="Listanumeradaurbana"/>
  </w:abstractNum>
  <w:abstractNum w:abstractNumId="35">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6">
    <w:nsid w:val="733505FE"/>
    <w:multiLevelType w:val="hybridMultilevel"/>
    <w:tmpl w:val="41F4AC88"/>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6740294"/>
    <w:multiLevelType w:val="multilevel"/>
    <w:tmpl w:val="33B056D0"/>
    <w:numStyleLink w:val="Listaconvietasurbana"/>
  </w:abstractNum>
  <w:abstractNum w:abstractNumId="38">
    <w:nsid w:val="76921C5B"/>
    <w:multiLevelType w:val="multilevel"/>
    <w:tmpl w:val="33B056D0"/>
    <w:numStyleLink w:val="Listaconvietasurbana"/>
  </w:abstractNum>
  <w:abstractNum w:abstractNumId="39">
    <w:nsid w:val="7E025C09"/>
    <w:multiLevelType w:val="multilevel"/>
    <w:tmpl w:val="33B056D0"/>
    <w:numStyleLink w:val="Listaconvietasurban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6"/>
  </w:num>
  <w:num w:numId="14">
    <w:abstractNumId w:val="21"/>
  </w:num>
  <w:num w:numId="15">
    <w:abstractNumId w:val="35"/>
  </w:num>
  <w:num w:numId="16">
    <w:abstractNumId w:val="20"/>
  </w:num>
  <w:num w:numId="17">
    <w:abstractNumId w:val="23"/>
  </w:num>
  <w:num w:numId="18">
    <w:abstractNumId w:val="12"/>
  </w:num>
  <w:num w:numId="19">
    <w:abstractNumId w:val="37"/>
  </w:num>
  <w:num w:numId="20">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33"/>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3"/>
  </w:num>
  <w:num w:numId="23">
    <w:abstractNumId w:val="34"/>
  </w:num>
  <w:num w:numId="24">
    <w:abstractNumId w:val="17"/>
  </w:num>
  <w:num w:numId="25">
    <w:abstractNumId w:val="16"/>
  </w:num>
  <w:num w:numId="26">
    <w:abstractNumId w:val="10"/>
  </w:num>
  <w:num w:numId="27">
    <w:abstractNumId w:val="39"/>
  </w:num>
  <w:num w:numId="28">
    <w:abstractNumId w:val="28"/>
  </w:num>
  <w:num w:numId="29">
    <w:abstractNumId w:val="19"/>
  </w:num>
  <w:num w:numId="30">
    <w:abstractNumId w:val="18"/>
  </w:num>
  <w:num w:numId="31">
    <w:abstractNumId w:val="18"/>
  </w:num>
  <w:num w:numId="32">
    <w:abstractNumId w:val="18"/>
  </w:num>
  <w:num w:numId="33">
    <w:abstractNumId w:val="23"/>
  </w:num>
  <w:num w:numId="34">
    <w:abstractNumId w:val="13"/>
  </w:num>
  <w:num w:numId="35">
    <w:abstractNumId w:val="23"/>
  </w:num>
  <w:num w:numId="36">
    <w:abstractNumId w:val="23"/>
  </w:num>
  <w:num w:numId="37">
    <w:abstractNumId w:val="23"/>
  </w:num>
  <w:num w:numId="38">
    <w:abstractNumId w:val="23"/>
  </w:num>
  <w:num w:numId="39">
    <w:abstractNumId w:val="13"/>
  </w:num>
  <w:num w:numId="40">
    <w:abstractNumId w:val="32"/>
  </w:num>
  <w:num w:numId="41">
    <w:abstractNumId w:val="29"/>
  </w:num>
  <w:num w:numId="42">
    <w:abstractNumId w:val="11"/>
  </w:num>
  <w:num w:numId="43">
    <w:abstractNumId w:val="30"/>
  </w:num>
  <w:num w:numId="44">
    <w:abstractNumId w:val="15"/>
  </w:num>
  <w:num w:numId="45">
    <w:abstractNumId w:val="14"/>
  </w:num>
  <w:num w:numId="46">
    <w:abstractNumId w:val="36"/>
  </w:num>
  <w:num w:numId="47">
    <w:abstractNumId w:val="31"/>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B2"/>
    <w:rsid w:val="0000250A"/>
    <w:rsid w:val="00002793"/>
    <w:rsid w:val="00004C5D"/>
    <w:rsid w:val="00007245"/>
    <w:rsid w:val="000200DB"/>
    <w:rsid w:val="00020673"/>
    <w:rsid w:val="0002440D"/>
    <w:rsid w:val="00026A1D"/>
    <w:rsid w:val="000302F6"/>
    <w:rsid w:val="00033C6B"/>
    <w:rsid w:val="00040795"/>
    <w:rsid w:val="00042372"/>
    <w:rsid w:val="0004502A"/>
    <w:rsid w:val="0004614D"/>
    <w:rsid w:val="000467A9"/>
    <w:rsid w:val="00047DDB"/>
    <w:rsid w:val="00053BF4"/>
    <w:rsid w:val="00057601"/>
    <w:rsid w:val="00057A0D"/>
    <w:rsid w:val="00057FFA"/>
    <w:rsid w:val="00071449"/>
    <w:rsid w:val="00077CDF"/>
    <w:rsid w:val="0008061C"/>
    <w:rsid w:val="00090A3E"/>
    <w:rsid w:val="000B5A54"/>
    <w:rsid w:val="000C0689"/>
    <w:rsid w:val="000C2F4D"/>
    <w:rsid w:val="000C37F6"/>
    <w:rsid w:val="000C4A0A"/>
    <w:rsid w:val="000D2D73"/>
    <w:rsid w:val="000E0645"/>
    <w:rsid w:val="000E1511"/>
    <w:rsid w:val="000F02B2"/>
    <w:rsid w:val="000F22B5"/>
    <w:rsid w:val="000F3CFB"/>
    <w:rsid w:val="000F5663"/>
    <w:rsid w:val="000F6C27"/>
    <w:rsid w:val="00100D09"/>
    <w:rsid w:val="00100FDC"/>
    <w:rsid w:val="001015E0"/>
    <w:rsid w:val="00115E70"/>
    <w:rsid w:val="00124764"/>
    <w:rsid w:val="00131645"/>
    <w:rsid w:val="00135896"/>
    <w:rsid w:val="00141DBA"/>
    <w:rsid w:val="00144B18"/>
    <w:rsid w:val="00144DA6"/>
    <w:rsid w:val="00146232"/>
    <w:rsid w:val="00146504"/>
    <w:rsid w:val="0014740D"/>
    <w:rsid w:val="00152FBA"/>
    <w:rsid w:val="0015416B"/>
    <w:rsid w:val="00155F42"/>
    <w:rsid w:val="00162C20"/>
    <w:rsid w:val="00174861"/>
    <w:rsid w:val="001777ED"/>
    <w:rsid w:val="00181303"/>
    <w:rsid w:val="00187A78"/>
    <w:rsid w:val="0019120F"/>
    <w:rsid w:val="00191366"/>
    <w:rsid w:val="0019322F"/>
    <w:rsid w:val="00195B99"/>
    <w:rsid w:val="001963A1"/>
    <w:rsid w:val="00196E57"/>
    <w:rsid w:val="001A1F97"/>
    <w:rsid w:val="001B45B7"/>
    <w:rsid w:val="001C0ECE"/>
    <w:rsid w:val="001C5432"/>
    <w:rsid w:val="001D364C"/>
    <w:rsid w:val="001D5FAD"/>
    <w:rsid w:val="001E7F43"/>
    <w:rsid w:val="0020242C"/>
    <w:rsid w:val="00205084"/>
    <w:rsid w:val="00211BE1"/>
    <w:rsid w:val="002136D7"/>
    <w:rsid w:val="0021780C"/>
    <w:rsid w:val="00224458"/>
    <w:rsid w:val="0022471D"/>
    <w:rsid w:val="002313A7"/>
    <w:rsid w:val="00235A5B"/>
    <w:rsid w:val="00240039"/>
    <w:rsid w:val="002456B0"/>
    <w:rsid w:val="00247E8E"/>
    <w:rsid w:val="00250374"/>
    <w:rsid w:val="0025449D"/>
    <w:rsid w:val="00255EC4"/>
    <w:rsid w:val="0026153E"/>
    <w:rsid w:val="002652DB"/>
    <w:rsid w:val="00265EA7"/>
    <w:rsid w:val="0027311B"/>
    <w:rsid w:val="00277C4C"/>
    <w:rsid w:val="00285760"/>
    <w:rsid w:val="0028680F"/>
    <w:rsid w:val="002951E2"/>
    <w:rsid w:val="002B3243"/>
    <w:rsid w:val="002B5BB5"/>
    <w:rsid w:val="002C5AAC"/>
    <w:rsid w:val="002C5C4E"/>
    <w:rsid w:val="002D0895"/>
    <w:rsid w:val="002D79CB"/>
    <w:rsid w:val="002D79EE"/>
    <w:rsid w:val="002E00AB"/>
    <w:rsid w:val="002E1542"/>
    <w:rsid w:val="002F2C7F"/>
    <w:rsid w:val="002F2CAA"/>
    <w:rsid w:val="002F4D73"/>
    <w:rsid w:val="002F71A3"/>
    <w:rsid w:val="0031284F"/>
    <w:rsid w:val="003220BF"/>
    <w:rsid w:val="003256DE"/>
    <w:rsid w:val="00326302"/>
    <w:rsid w:val="00341355"/>
    <w:rsid w:val="00345ABD"/>
    <w:rsid w:val="00352180"/>
    <w:rsid w:val="003549D0"/>
    <w:rsid w:val="00355F1A"/>
    <w:rsid w:val="00372273"/>
    <w:rsid w:val="00375B00"/>
    <w:rsid w:val="00376BF1"/>
    <w:rsid w:val="00381193"/>
    <w:rsid w:val="00384774"/>
    <w:rsid w:val="00391F22"/>
    <w:rsid w:val="00394BE2"/>
    <w:rsid w:val="00395F26"/>
    <w:rsid w:val="003A47B5"/>
    <w:rsid w:val="003A61D2"/>
    <w:rsid w:val="003A6B5E"/>
    <w:rsid w:val="003B4A88"/>
    <w:rsid w:val="003C251C"/>
    <w:rsid w:val="003C3FCE"/>
    <w:rsid w:val="003C4162"/>
    <w:rsid w:val="003D5691"/>
    <w:rsid w:val="003D793E"/>
    <w:rsid w:val="003E4333"/>
    <w:rsid w:val="003E4DFA"/>
    <w:rsid w:val="003E71A0"/>
    <w:rsid w:val="003F10D6"/>
    <w:rsid w:val="003F1417"/>
    <w:rsid w:val="0040196E"/>
    <w:rsid w:val="00402F51"/>
    <w:rsid w:val="00406C3D"/>
    <w:rsid w:val="00406DDA"/>
    <w:rsid w:val="00412C7A"/>
    <w:rsid w:val="00413C4E"/>
    <w:rsid w:val="00414FFB"/>
    <w:rsid w:val="00415CDA"/>
    <w:rsid w:val="00417966"/>
    <w:rsid w:val="0042211F"/>
    <w:rsid w:val="00427507"/>
    <w:rsid w:val="004452FC"/>
    <w:rsid w:val="0046145E"/>
    <w:rsid w:val="00463BE8"/>
    <w:rsid w:val="00470683"/>
    <w:rsid w:val="0047212C"/>
    <w:rsid w:val="00473D85"/>
    <w:rsid w:val="00475A84"/>
    <w:rsid w:val="004809C5"/>
    <w:rsid w:val="004856CF"/>
    <w:rsid w:val="0048625B"/>
    <w:rsid w:val="00497839"/>
    <w:rsid w:val="004A60E2"/>
    <w:rsid w:val="004B5A06"/>
    <w:rsid w:val="004C21D3"/>
    <w:rsid w:val="004C627E"/>
    <w:rsid w:val="004C740B"/>
    <w:rsid w:val="004C792C"/>
    <w:rsid w:val="004D7FBE"/>
    <w:rsid w:val="00506B31"/>
    <w:rsid w:val="00513EC7"/>
    <w:rsid w:val="0051614E"/>
    <w:rsid w:val="0051682D"/>
    <w:rsid w:val="00520912"/>
    <w:rsid w:val="00523F5F"/>
    <w:rsid w:val="0052794A"/>
    <w:rsid w:val="0053539F"/>
    <w:rsid w:val="00535CD6"/>
    <w:rsid w:val="00550FCC"/>
    <w:rsid w:val="00554AE4"/>
    <w:rsid w:val="00561E73"/>
    <w:rsid w:val="00563729"/>
    <w:rsid w:val="005646C3"/>
    <w:rsid w:val="00567474"/>
    <w:rsid w:val="005718D7"/>
    <w:rsid w:val="00574EC6"/>
    <w:rsid w:val="0058112B"/>
    <w:rsid w:val="005839DB"/>
    <w:rsid w:val="005915F6"/>
    <w:rsid w:val="005921DF"/>
    <w:rsid w:val="00596EDD"/>
    <w:rsid w:val="005A1673"/>
    <w:rsid w:val="005A1B1B"/>
    <w:rsid w:val="005A2346"/>
    <w:rsid w:val="005B0C61"/>
    <w:rsid w:val="005B7C64"/>
    <w:rsid w:val="005C26F2"/>
    <w:rsid w:val="005C4D90"/>
    <w:rsid w:val="005C5DC1"/>
    <w:rsid w:val="005C658E"/>
    <w:rsid w:val="005F0168"/>
    <w:rsid w:val="005F0A2F"/>
    <w:rsid w:val="005F586A"/>
    <w:rsid w:val="006219DA"/>
    <w:rsid w:val="0062716C"/>
    <w:rsid w:val="00632FFC"/>
    <w:rsid w:val="006350B7"/>
    <w:rsid w:val="00635840"/>
    <w:rsid w:val="00646612"/>
    <w:rsid w:val="006469F3"/>
    <w:rsid w:val="00647EC6"/>
    <w:rsid w:val="0065420F"/>
    <w:rsid w:val="00656338"/>
    <w:rsid w:val="00656CCA"/>
    <w:rsid w:val="0067615D"/>
    <w:rsid w:val="00683852"/>
    <w:rsid w:val="0068512B"/>
    <w:rsid w:val="00694E55"/>
    <w:rsid w:val="006A2316"/>
    <w:rsid w:val="006A42D4"/>
    <w:rsid w:val="006A7B1F"/>
    <w:rsid w:val="006B577E"/>
    <w:rsid w:val="006C0613"/>
    <w:rsid w:val="006C3C82"/>
    <w:rsid w:val="006D0307"/>
    <w:rsid w:val="006D7EE4"/>
    <w:rsid w:val="006E01D9"/>
    <w:rsid w:val="006F1411"/>
    <w:rsid w:val="007009D5"/>
    <w:rsid w:val="007109F5"/>
    <w:rsid w:val="007206B9"/>
    <w:rsid w:val="00723413"/>
    <w:rsid w:val="00743995"/>
    <w:rsid w:val="0075169D"/>
    <w:rsid w:val="0075372C"/>
    <w:rsid w:val="00757000"/>
    <w:rsid w:val="007601C2"/>
    <w:rsid w:val="00770643"/>
    <w:rsid w:val="0077256F"/>
    <w:rsid w:val="00777DE9"/>
    <w:rsid w:val="00787028"/>
    <w:rsid w:val="00794A50"/>
    <w:rsid w:val="007B2320"/>
    <w:rsid w:val="007B30CF"/>
    <w:rsid w:val="007B7AD1"/>
    <w:rsid w:val="007D3BDF"/>
    <w:rsid w:val="007E1A7A"/>
    <w:rsid w:val="007F0CCF"/>
    <w:rsid w:val="00800423"/>
    <w:rsid w:val="00801472"/>
    <w:rsid w:val="00802233"/>
    <w:rsid w:val="00811B08"/>
    <w:rsid w:val="008176A6"/>
    <w:rsid w:val="008220D7"/>
    <w:rsid w:val="008234D9"/>
    <w:rsid w:val="00841A00"/>
    <w:rsid w:val="008469AD"/>
    <w:rsid w:val="0085543A"/>
    <w:rsid w:val="008558C6"/>
    <w:rsid w:val="008854CC"/>
    <w:rsid w:val="008876B2"/>
    <w:rsid w:val="008929EF"/>
    <w:rsid w:val="008A7D3B"/>
    <w:rsid w:val="008D5F41"/>
    <w:rsid w:val="008E0F8A"/>
    <w:rsid w:val="008E5AE2"/>
    <w:rsid w:val="008F0A3A"/>
    <w:rsid w:val="00900A7D"/>
    <w:rsid w:val="00902A11"/>
    <w:rsid w:val="009073B4"/>
    <w:rsid w:val="009129B2"/>
    <w:rsid w:val="00914A0F"/>
    <w:rsid w:val="00923AB9"/>
    <w:rsid w:val="0092477D"/>
    <w:rsid w:val="00925B4F"/>
    <w:rsid w:val="009318F3"/>
    <w:rsid w:val="00934E69"/>
    <w:rsid w:val="0093669D"/>
    <w:rsid w:val="009417A3"/>
    <w:rsid w:val="00954BE4"/>
    <w:rsid w:val="00971688"/>
    <w:rsid w:val="00973C9C"/>
    <w:rsid w:val="00976AE5"/>
    <w:rsid w:val="009832A4"/>
    <w:rsid w:val="00984881"/>
    <w:rsid w:val="00985547"/>
    <w:rsid w:val="00990975"/>
    <w:rsid w:val="009B165E"/>
    <w:rsid w:val="009B2358"/>
    <w:rsid w:val="009B2880"/>
    <w:rsid w:val="009B529F"/>
    <w:rsid w:val="009E3455"/>
    <w:rsid w:val="009E5841"/>
    <w:rsid w:val="009F1F97"/>
    <w:rsid w:val="009F3EC3"/>
    <w:rsid w:val="009F5AAA"/>
    <w:rsid w:val="009F6D39"/>
    <w:rsid w:val="00A06568"/>
    <w:rsid w:val="00A07AF5"/>
    <w:rsid w:val="00A32599"/>
    <w:rsid w:val="00A36403"/>
    <w:rsid w:val="00A36D86"/>
    <w:rsid w:val="00A375F8"/>
    <w:rsid w:val="00A526BF"/>
    <w:rsid w:val="00A60561"/>
    <w:rsid w:val="00A61B8E"/>
    <w:rsid w:val="00A73F3F"/>
    <w:rsid w:val="00A74A43"/>
    <w:rsid w:val="00A83988"/>
    <w:rsid w:val="00A90DFF"/>
    <w:rsid w:val="00AA1B28"/>
    <w:rsid w:val="00AA2D83"/>
    <w:rsid w:val="00AB0ABE"/>
    <w:rsid w:val="00AC149D"/>
    <w:rsid w:val="00AD6D80"/>
    <w:rsid w:val="00AE16CC"/>
    <w:rsid w:val="00AE541C"/>
    <w:rsid w:val="00AF02EB"/>
    <w:rsid w:val="00AF32A5"/>
    <w:rsid w:val="00AF627B"/>
    <w:rsid w:val="00B044F3"/>
    <w:rsid w:val="00B057CB"/>
    <w:rsid w:val="00B1237C"/>
    <w:rsid w:val="00B1253D"/>
    <w:rsid w:val="00B137B7"/>
    <w:rsid w:val="00B14C7B"/>
    <w:rsid w:val="00B17F38"/>
    <w:rsid w:val="00B23156"/>
    <w:rsid w:val="00B305DD"/>
    <w:rsid w:val="00B529FF"/>
    <w:rsid w:val="00B5699D"/>
    <w:rsid w:val="00B7453A"/>
    <w:rsid w:val="00B814CB"/>
    <w:rsid w:val="00B86CD2"/>
    <w:rsid w:val="00BA381E"/>
    <w:rsid w:val="00BB4492"/>
    <w:rsid w:val="00BB55B0"/>
    <w:rsid w:val="00BB5FFF"/>
    <w:rsid w:val="00BC6986"/>
    <w:rsid w:val="00BC6A56"/>
    <w:rsid w:val="00BD3DF5"/>
    <w:rsid w:val="00BD4F6E"/>
    <w:rsid w:val="00BE52F3"/>
    <w:rsid w:val="00BE68CD"/>
    <w:rsid w:val="00BE7255"/>
    <w:rsid w:val="00BF3F82"/>
    <w:rsid w:val="00C02ADF"/>
    <w:rsid w:val="00C05C6E"/>
    <w:rsid w:val="00C060B9"/>
    <w:rsid w:val="00C12FE5"/>
    <w:rsid w:val="00C161D5"/>
    <w:rsid w:val="00C31F9B"/>
    <w:rsid w:val="00C773FD"/>
    <w:rsid w:val="00C92E35"/>
    <w:rsid w:val="00C95495"/>
    <w:rsid w:val="00CA1FF0"/>
    <w:rsid w:val="00CA722F"/>
    <w:rsid w:val="00CB2499"/>
    <w:rsid w:val="00CB65E7"/>
    <w:rsid w:val="00CB6D6C"/>
    <w:rsid w:val="00CD3F0A"/>
    <w:rsid w:val="00CD6E1B"/>
    <w:rsid w:val="00CE43A8"/>
    <w:rsid w:val="00CE47F1"/>
    <w:rsid w:val="00D001DB"/>
    <w:rsid w:val="00D01F89"/>
    <w:rsid w:val="00D21232"/>
    <w:rsid w:val="00D23563"/>
    <w:rsid w:val="00D2461E"/>
    <w:rsid w:val="00D438E9"/>
    <w:rsid w:val="00D44403"/>
    <w:rsid w:val="00D55EB5"/>
    <w:rsid w:val="00D631CC"/>
    <w:rsid w:val="00D65E96"/>
    <w:rsid w:val="00D67400"/>
    <w:rsid w:val="00D67951"/>
    <w:rsid w:val="00D74601"/>
    <w:rsid w:val="00D8084B"/>
    <w:rsid w:val="00D836EF"/>
    <w:rsid w:val="00D83A71"/>
    <w:rsid w:val="00DA7486"/>
    <w:rsid w:val="00DB4284"/>
    <w:rsid w:val="00DB52E9"/>
    <w:rsid w:val="00DB5307"/>
    <w:rsid w:val="00DC5283"/>
    <w:rsid w:val="00DD2A01"/>
    <w:rsid w:val="00DE2201"/>
    <w:rsid w:val="00DE5408"/>
    <w:rsid w:val="00DF7C00"/>
    <w:rsid w:val="00E1322B"/>
    <w:rsid w:val="00E2112B"/>
    <w:rsid w:val="00E327DC"/>
    <w:rsid w:val="00E334D1"/>
    <w:rsid w:val="00E50E43"/>
    <w:rsid w:val="00E719EF"/>
    <w:rsid w:val="00E750B6"/>
    <w:rsid w:val="00E80874"/>
    <w:rsid w:val="00E838E6"/>
    <w:rsid w:val="00E924EF"/>
    <w:rsid w:val="00E96235"/>
    <w:rsid w:val="00EA0FD2"/>
    <w:rsid w:val="00EA4781"/>
    <w:rsid w:val="00EB1F5F"/>
    <w:rsid w:val="00EB204B"/>
    <w:rsid w:val="00EE04EB"/>
    <w:rsid w:val="00EE20F1"/>
    <w:rsid w:val="00EE3C20"/>
    <w:rsid w:val="00EE463E"/>
    <w:rsid w:val="00EF3A76"/>
    <w:rsid w:val="00F07699"/>
    <w:rsid w:val="00F07996"/>
    <w:rsid w:val="00F16D98"/>
    <w:rsid w:val="00F20DF6"/>
    <w:rsid w:val="00F22CF1"/>
    <w:rsid w:val="00F22E36"/>
    <w:rsid w:val="00F23B80"/>
    <w:rsid w:val="00F23BD7"/>
    <w:rsid w:val="00F245CD"/>
    <w:rsid w:val="00F279CA"/>
    <w:rsid w:val="00F27CB0"/>
    <w:rsid w:val="00F31ED9"/>
    <w:rsid w:val="00F358D1"/>
    <w:rsid w:val="00F37039"/>
    <w:rsid w:val="00F422E6"/>
    <w:rsid w:val="00F43FB5"/>
    <w:rsid w:val="00F446FB"/>
    <w:rsid w:val="00F47130"/>
    <w:rsid w:val="00F53FF2"/>
    <w:rsid w:val="00F553A9"/>
    <w:rsid w:val="00F57267"/>
    <w:rsid w:val="00F577DE"/>
    <w:rsid w:val="00F73923"/>
    <w:rsid w:val="00F920A1"/>
    <w:rsid w:val="00F92CAB"/>
    <w:rsid w:val="00F931F3"/>
    <w:rsid w:val="00F95BEE"/>
    <w:rsid w:val="00F95EE9"/>
    <w:rsid w:val="00FA377A"/>
    <w:rsid w:val="00FA5D07"/>
    <w:rsid w:val="00FB32A8"/>
    <w:rsid w:val="00FB4BBF"/>
    <w:rsid w:val="00FB7457"/>
    <w:rsid w:val="00FC00FE"/>
    <w:rsid w:val="00FC3BD8"/>
    <w:rsid w:val="00FC70AB"/>
    <w:rsid w:val="00FD588F"/>
    <w:rsid w:val="00FD73F5"/>
    <w:rsid w:val="00FD7E7A"/>
    <w:rsid w:val="00FE1478"/>
    <w:rsid w:val="00FF20A2"/>
    <w:rsid w:val="00FF5F43"/>
    <w:rsid w:val="00FF72DE"/>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E719EF"/>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E719EF"/>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paragraph" w:styleId="Listaconvietas">
    <w:name w:val="List Bullet"/>
    <w:basedOn w:val="Normal"/>
    <w:uiPriority w:val="99"/>
    <w:unhideWhenUsed/>
    <w:rsid w:val="00D74601"/>
    <w:pPr>
      <w:numPr>
        <w:numId w:val="1"/>
      </w:numPr>
      <w:contextualSpacing/>
    </w:pPr>
  </w:style>
  <w:style w:type="table" w:styleId="Listaclara-nfasis2">
    <w:name w:val="Light List Accent 2"/>
    <w:basedOn w:val="Tablanormal"/>
    <w:uiPriority w:val="42"/>
    <w:rsid w:val="00141DBA"/>
    <w:pPr>
      <w:spacing w:after="0" w:line="240" w:lineRule="auto"/>
    </w:p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38086" w:themeFill="accent2"/>
      </w:tcPr>
    </w:tblStylePr>
    <w:tblStylePr w:type="lastRow">
      <w:pPr>
        <w:spacing w:before="0" w:after="0" w:line="240" w:lineRule="auto"/>
      </w:pPr>
      <w:rPr>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tcBorders>
      </w:tcPr>
    </w:tblStylePr>
    <w:tblStylePr w:type="firstCol">
      <w:rPr>
        <w:b/>
        <w:bCs/>
      </w:rPr>
    </w:tblStylePr>
    <w:tblStylePr w:type="lastCol">
      <w:rPr>
        <w:b/>
        <w:bCs/>
      </w:r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style>
  <w:style w:type="table" w:styleId="Listamedia1-nfasis2">
    <w:name w:val="Medium List 1 Accent 2"/>
    <w:basedOn w:val="Tablanormal"/>
    <w:uiPriority w:val="42"/>
    <w:rsid w:val="00694E55"/>
    <w:pPr>
      <w:spacing w:after="0" w:line="240" w:lineRule="auto"/>
    </w:pPr>
    <w:rPr>
      <w:color w:val="000000" w:themeColor="text1"/>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38086" w:themeColor="accent2"/>
        </w:tcBorders>
      </w:tcPr>
    </w:tblStylePr>
    <w:tblStylePr w:type="lastRow">
      <w:rPr>
        <w:b/>
        <w:bCs/>
        <w:color w:val="424456" w:themeColor="text2"/>
      </w:rPr>
      <w:tblPr/>
      <w:tcPr>
        <w:tcBorders>
          <w:top w:val="single" w:sz="8" w:space="0" w:color="438086" w:themeColor="accent2"/>
          <w:bottom w:val="single" w:sz="8" w:space="0" w:color="438086" w:themeColor="accent2"/>
        </w:tcBorders>
      </w:tcPr>
    </w:tblStylePr>
    <w:tblStylePr w:type="firstCol">
      <w:rPr>
        <w:b/>
        <w:bCs/>
      </w:rPr>
    </w:tblStylePr>
    <w:tblStylePr w:type="lastCol">
      <w:rPr>
        <w:b/>
        <w:bCs/>
      </w:rPr>
      <w:tblPr/>
      <w:tcPr>
        <w:tcBorders>
          <w:top w:val="single" w:sz="8" w:space="0" w:color="438086" w:themeColor="accent2"/>
          <w:bottom w:val="single" w:sz="8" w:space="0" w:color="438086" w:themeColor="accent2"/>
        </w:tcBorders>
      </w:tcPr>
    </w:tblStylePr>
    <w:tblStylePr w:type="band1Vert">
      <w:tblPr/>
      <w:tcPr>
        <w:shd w:val="clear" w:color="auto" w:fill="CBE3E5" w:themeFill="accent2" w:themeFillTint="3F"/>
      </w:tcPr>
    </w:tblStylePr>
    <w:tblStylePr w:type="band1Horz">
      <w:tblPr/>
      <w:tcPr>
        <w:shd w:val="clear" w:color="auto" w:fill="CBE3E5" w:themeFill="accent2" w:themeFillTint="3F"/>
      </w:tcPr>
    </w:tblStylePr>
  </w:style>
  <w:style w:type="table" w:customStyle="1" w:styleId="Tablaconcuadrcula3">
    <w:name w:val="Tabla con cuadrícula3"/>
    <w:basedOn w:val="Tablanormal"/>
    <w:next w:val="Tablaconcuadrcula"/>
    <w:uiPriority w:val="59"/>
    <w:rsid w:val="00B1237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E719EF"/>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E719EF"/>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paragraph" w:styleId="Listaconvietas">
    <w:name w:val="List Bullet"/>
    <w:basedOn w:val="Normal"/>
    <w:uiPriority w:val="99"/>
    <w:unhideWhenUsed/>
    <w:rsid w:val="00D74601"/>
    <w:pPr>
      <w:numPr>
        <w:numId w:val="1"/>
      </w:numPr>
      <w:contextualSpacing/>
    </w:pPr>
  </w:style>
  <w:style w:type="table" w:styleId="Listaclara-nfasis2">
    <w:name w:val="Light List Accent 2"/>
    <w:basedOn w:val="Tablanormal"/>
    <w:uiPriority w:val="42"/>
    <w:rsid w:val="00141DBA"/>
    <w:pPr>
      <w:spacing w:after="0" w:line="240" w:lineRule="auto"/>
    </w:p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38086" w:themeFill="accent2"/>
      </w:tcPr>
    </w:tblStylePr>
    <w:tblStylePr w:type="lastRow">
      <w:pPr>
        <w:spacing w:before="0" w:after="0" w:line="240" w:lineRule="auto"/>
      </w:pPr>
      <w:rPr>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tcBorders>
      </w:tcPr>
    </w:tblStylePr>
    <w:tblStylePr w:type="firstCol">
      <w:rPr>
        <w:b/>
        <w:bCs/>
      </w:rPr>
    </w:tblStylePr>
    <w:tblStylePr w:type="lastCol">
      <w:rPr>
        <w:b/>
        <w:bCs/>
      </w:r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style>
  <w:style w:type="table" w:styleId="Listamedia1-nfasis2">
    <w:name w:val="Medium List 1 Accent 2"/>
    <w:basedOn w:val="Tablanormal"/>
    <w:uiPriority w:val="42"/>
    <w:rsid w:val="00694E55"/>
    <w:pPr>
      <w:spacing w:after="0" w:line="240" w:lineRule="auto"/>
    </w:pPr>
    <w:rPr>
      <w:color w:val="000000" w:themeColor="text1"/>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38086" w:themeColor="accent2"/>
        </w:tcBorders>
      </w:tcPr>
    </w:tblStylePr>
    <w:tblStylePr w:type="lastRow">
      <w:rPr>
        <w:b/>
        <w:bCs/>
        <w:color w:val="424456" w:themeColor="text2"/>
      </w:rPr>
      <w:tblPr/>
      <w:tcPr>
        <w:tcBorders>
          <w:top w:val="single" w:sz="8" w:space="0" w:color="438086" w:themeColor="accent2"/>
          <w:bottom w:val="single" w:sz="8" w:space="0" w:color="438086" w:themeColor="accent2"/>
        </w:tcBorders>
      </w:tcPr>
    </w:tblStylePr>
    <w:tblStylePr w:type="firstCol">
      <w:rPr>
        <w:b/>
        <w:bCs/>
      </w:rPr>
    </w:tblStylePr>
    <w:tblStylePr w:type="lastCol">
      <w:rPr>
        <w:b/>
        <w:bCs/>
      </w:rPr>
      <w:tblPr/>
      <w:tcPr>
        <w:tcBorders>
          <w:top w:val="single" w:sz="8" w:space="0" w:color="438086" w:themeColor="accent2"/>
          <w:bottom w:val="single" w:sz="8" w:space="0" w:color="438086" w:themeColor="accent2"/>
        </w:tcBorders>
      </w:tcPr>
    </w:tblStylePr>
    <w:tblStylePr w:type="band1Vert">
      <w:tblPr/>
      <w:tcPr>
        <w:shd w:val="clear" w:color="auto" w:fill="CBE3E5" w:themeFill="accent2" w:themeFillTint="3F"/>
      </w:tcPr>
    </w:tblStylePr>
    <w:tblStylePr w:type="band1Horz">
      <w:tblPr/>
      <w:tcPr>
        <w:shd w:val="clear" w:color="auto" w:fill="CBE3E5" w:themeFill="accent2" w:themeFillTint="3F"/>
      </w:tcPr>
    </w:tblStylePr>
  </w:style>
  <w:style w:type="table" w:customStyle="1" w:styleId="Tablaconcuadrcula3">
    <w:name w:val="Tabla con cuadrícula3"/>
    <w:basedOn w:val="Tablanormal"/>
    <w:next w:val="Tablaconcuadrcula"/>
    <w:uiPriority w:val="59"/>
    <w:rsid w:val="00B1237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7854">
      <w:bodyDiv w:val="1"/>
      <w:marLeft w:val="0"/>
      <w:marRight w:val="0"/>
      <w:marTop w:val="0"/>
      <w:marBottom w:val="0"/>
      <w:divBdr>
        <w:top w:val="none" w:sz="0" w:space="0" w:color="auto"/>
        <w:left w:val="none" w:sz="0" w:space="0" w:color="auto"/>
        <w:bottom w:val="none" w:sz="0" w:space="0" w:color="auto"/>
        <w:right w:val="none" w:sz="0" w:space="0" w:color="auto"/>
      </w:divBdr>
    </w:div>
    <w:div w:id="500042847">
      <w:bodyDiv w:val="1"/>
      <w:marLeft w:val="0"/>
      <w:marRight w:val="0"/>
      <w:marTop w:val="0"/>
      <w:marBottom w:val="0"/>
      <w:divBdr>
        <w:top w:val="none" w:sz="0" w:space="0" w:color="auto"/>
        <w:left w:val="none" w:sz="0" w:space="0" w:color="auto"/>
        <w:bottom w:val="none" w:sz="0" w:space="0" w:color="auto"/>
        <w:right w:val="none" w:sz="0" w:space="0" w:color="auto"/>
      </w:divBdr>
    </w:div>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1011882995">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IC.ES\sscc\550Grupos\ctbg-sgtbg\14%20MEMORIA\MEMORIA%202021\05%20CCAA\Cumplimiento%20recomendaciones.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Hoja1!$K$2</c:f>
              <c:strCache>
                <c:ptCount val="1"/>
                <c:pt idx="0">
                  <c:v>% Corporaciones</c:v>
                </c:pt>
              </c:strCache>
            </c:strRef>
          </c:tx>
          <c:spPr>
            <a:solidFill>
              <a:schemeClr val="accent2"/>
            </a:solidFill>
          </c:spPr>
          <c:invertIfNegative val="0"/>
          <c:dLbls>
            <c:showLegendKey val="0"/>
            <c:showVal val="1"/>
            <c:showCatName val="0"/>
            <c:showSerName val="0"/>
            <c:showPercent val="0"/>
            <c:showBubbleSize val="0"/>
            <c:showLeaderLines val="0"/>
          </c:dLbls>
          <c:cat>
            <c:strRef>
              <c:f>Hoja1!$I$3:$I$9</c:f>
              <c:strCache>
                <c:ptCount val="7"/>
                <c:pt idx="0">
                  <c:v>100%</c:v>
                </c:pt>
                <c:pt idx="1">
                  <c:v>80-99,9%</c:v>
                </c:pt>
                <c:pt idx="2">
                  <c:v>60-79,9%</c:v>
                </c:pt>
                <c:pt idx="3">
                  <c:v>40-59,9%</c:v>
                </c:pt>
                <c:pt idx="4">
                  <c:v>20-39,9%</c:v>
                </c:pt>
                <c:pt idx="5">
                  <c:v>1-19,9%</c:v>
                </c:pt>
                <c:pt idx="6">
                  <c:v>0%</c:v>
                </c:pt>
              </c:strCache>
            </c:strRef>
          </c:cat>
          <c:val>
            <c:numRef>
              <c:f>Hoja1!$K$3:$K$9</c:f>
              <c:numCache>
                <c:formatCode>0.0%</c:formatCode>
                <c:ptCount val="7"/>
                <c:pt idx="0">
                  <c:v>0</c:v>
                </c:pt>
                <c:pt idx="1">
                  <c:v>0.125</c:v>
                </c:pt>
                <c:pt idx="2">
                  <c:v>0</c:v>
                </c:pt>
                <c:pt idx="3">
                  <c:v>0</c:v>
                </c:pt>
                <c:pt idx="4">
                  <c:v>0.625</c:v>
                </c:pt>
                <c:pt idx="5">
                  <c:v>0.125</c:v>
                </c:pt>
                <c:pt idx="6">
                  <c:v>0.125</c:v>
                </c:pt>
              </c:numCache>
            </c:numRef>
          </c:val>
        </c:ser>
        <c:dLbls>
          <c:showLegendKey val="0"/>
          <c:showVal val="0"/>
          <c:showCatName val="0"/>
          <c:showSerName val="0"/>
          <c:showPercent val="0"/>
          <c:showBubbleSize val="0"/>
        </c:dLbls>
        <c:gapWidth val="150"/>
        <c:axId val="266397568"/>
        <c:axId val="267479296"/>
      </c:barChart>
      <c:catAx>
        <c:axId val="266397568"/>
        <c:scaling>
          <c:orientation val="minMax"/>
        </c:scaling>
        <c:delete val="0"/>
        <c:axPos val="b"/>
        <c:majorTickMark val="out"/>
        <c:minorTickMark val="none"/>
        <c:tickLblPos val="nextTo"/>
        <c:crossAx val="267479296"/>
        <c:crosses val="autoZero"/>
        <c:auto val="1"/>
        <c:lblAlgn val="ctr"/>
        <c:lblOffset val="100"/>
        <c:noMultiLvlLbl val="0"/>
      </c:catAx>
      <c:valAx>
        <c:axId val="267479296"/>
        <c:scaling>
          <c:orientation val="minMax"/>
          <c:max val="1"/>
        </c:scaling>
        <c:delete val="0"/>
        <c:axPos val="l"/>
        <c:numFmt formatCode="0%" sourceLinked="0"/>
        <c:majorTickMark val="out"/>
        <c:minorTickMark val="none"/>
        <c:tickLblPos val="nextTo"/>
        <c:crossAx val="266397568"/>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global'!$L$18:$S$18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global'!$L$19:$S$19</c:f>
              <c:numCache>
                <c:formatCode>0.0%</c:formatCode>
                <c:ptCount val="8"/>
                <c:pt idx="0">
                  <c:v>0.85562499999999997</c:v>
                </c:pt>
                <c:pt idx="1">
                  <c:v>0.86875000000000002</c:v>
                </c:pt>
                <c:pt idx="2">
                  <c:v>0.8125</c:v>
                </c:pt>
                <c:pt idx="3">
                  <c:v>0.82125000000000004</c:v>
                </c:pt>
                <c:pt idx="4">
                  <c:v>0.88749999999999996</c:v>
                </c:pt>
                <c:pt idx="5">
                  <c:v>0.85875000000000001</c:v>
                </c:pt>
                <c:pt idx="6">
                  <c:v>0.6</c:v>
                </c:pt>
                <c:pt idx="7">
                  <c:v>0.81491071428571427</c:v>
                </c:pt>
              </c:numCache>
            </c:numRef>
          </c:val>
        </c:ser>
        <c:dLbls>
          <c:showLegendKey val="0"/>
          <c:showVal val="0"/>
          <c:showCatName val="0"/>
          <c:showSerName val="0"/>
          <c:showPercent val="0"/>
          <c:showBubbleSize val="0"/>
        </c:dLbls>
        <c:gapWidth val="150"/>
        <c:axId val="311669888"/>
        <c:axId val="311671424"/>
      </c:barChart>
      <c:catAx>
        <c:axId val="311669888"/>
        <c:scaling>
          <c:orientation val="minMax"/>
        </c:scaling>
        <c:delete val="0"/>
        <c:axPos val="b"/>
        <c:majorTickMark val="out"/>
        <c:minorTickMark val="none"/>
        <c:tickLblPos val="nextTo"/>
        <c:crossAx val="311671424"/>
        <c:crosses val="autoZero"/>
        <c:auto val="1"/>
        <c:lblAlgn val="ctr"/>
        <c:lblOffset val="100"/>
        <c:noMultiLvlLbl val="0"/>
      </c:catAx>
      <c:valAx>
        <c:axId val="311671424"/>
        <c:scaling>
          <c:orientation val="minMax"/>
        </c:scaling>
        <c:delete val="0"/>
        <c:axPos val="l"/>
        <c:numFmt formatCode="0%" sourceLinked="0"/>
        <c:majorTickMark val="out"/>
        <c:minorTickMark val="none"/>
        <c:tickLblPos val="nextTo"/>
        <c:crossAx val="311669888"/>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solidFill>
          </c:spPr>
          <c:invertIfNegative val="0"/>
          <c:dLbls>
            <c:showLegendKey val="0"/>
            <c:showVal val="1"/>
            <c:showCatName val="0"/>
            <c:showSerName val="0"/>
            <c:showPercent val="0"/>
            <c:showBubbleSize val="0"/>
            <c:showLeaderLines val="0"/>
          </c:dLbls>
          <c:cat>
            <c:strRef>
              <c:f>'cumplimiento global'!$L$43:$S$43</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global'!$L$44:$S$44</c:f>
              <c:numCache>
                <c:formatCode>0.0%</c:formatCode>
                <c:ptCount val="8"/>
                <c:pt idx="0">
                  <c:v>0.85581395348837208</c:v>
                </c:pt>
                <c:pt idx="1">
                  <c:v>0.86046511627906974</c:v>
                </c:pt>
                <c:pt idx="2">
                  <c:v>0.83720930232558144</c:v>
                </c:pt>
                <c:pt idx="3">
                  <c:v>0.83023255813953489</c:v>
                </c:pt>
                <c:pt idx="4">
                  <c:v>0.83720930232558144</c:v>
                </c:pt>
                <c:pt idx="5">
                  <c:v>0.83720930232558144</c:v>
                </c:pt>
                <c:pt idx="6">
                  <c:v>0.76744186046511631</c:v>
                </c:pt>
                <c:pt idx="7">
                  <c:v>0.83222591362126241</c:v>
                </c:pt>
              </c:numCache>
            </c:numRef>
          </c:val>
        </c:ser>
        <c:dLbls>
          <c:showLegendKey val="0"/>
          <c:showVal val="0"/>
          <c:showCatName val="0"/>
          <c:showSerName val="0"/>
          <c:showPercent val="0"/>
          <c:showBubbleSize val="0"/>
        </c:dLbls>
        <c:gapWidth val="150"/>
        <c:axId val="304781952"/>
        <c:axId val="304794624"/>
      </c:barChart>
      <c:catAx>
        <c:axId val="304781952"/>
        <c:scaling>
          <c:orientation val="minMax"/>
        </c:scaling>
        <c:delete val="0"/>
        <c:axPos val="b"/>
        <c:majorTickMark val="out"/>
        <c:minorTickMark val="none"/>
        <c:tickLblPos val="nextTo"/>
        <c:crossAx val="304794624"/>
        <c:crosses val="autoZero"/>
        <c:auto val="1"/>
        <c:lblAlgn val="ctr"/>
        <c:lblOffset val="100"/>
        <c:noMultiLvlLbl val="0"/>
      </c:catAx>
      <c:valAx>
        <c:axId val="304794624"/>
        <c:scaling>
          <c:orientation val="minMax"/>
          <c:max val="1"/>
          <c:min val="0"/>
        </c:scaling>
        <c:delete val="0"/>
        <c:axPos val="l"/>
        <c:numFmt formatCode="0%" sourceLinked="0"/>
        <c:majorTickMark val="out"/>
        <c:minorTickMark val="none"/>
        <c:tickLblPos val="nextTo"/>
        <c:crossAx val="304781952"/>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solidFill>
          </c:spPr>
          <c:invertIfNegative val="0"/>
          <c:dLbls>
            <c:showLegendKey val="0"/>
            <c:showVal val="1"/>
            <c:showCatName val="0"/>
            <c:showSerName val="0"/>
            <c:showPercent val="0"/>
            <c:showBubbleSize val="0"/>
            <c:showLeaderLines val="0"/>
          </c:dLbls>
          <c:cat>
            <c:strRef>
              <c:f>'cumplimiento global'!$L$65:$S$65</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global'!$L$66:$S$66</c:f>
              <c:numCache>
                <c:formatCode>0.0%</c:formatCode>
                <c:ptCount val="8"/>
                <c:pt idx="0">
                  <c:v>0.86350318471337584</c:v>
                </c:pt>
                <c:pt idx="1">
                  <c:v>0.6560509554140127</c:v>
                </c:pt>
                <c:pt idx="2">
                  <c:v>0.85987261146496818</c:v>
                </c:pt>
                <c:pt idx="3">
                  <c:v>0.64968152866242035</c:v>
                </c:pt>
                <c:pt idx="4">
                  <c:v>0.85668789808917201</c:v>
                </c:pt>
                <c:pt idx="5">
                  <c:v>0.84076433121019112</c:v>
                </c:pt>
                <c:pt idx="6">
                  <c:v>0.83121019108280259</c:v>
                </c:pt>
                <c:pt idx="7">
                  <c:v>0.7939672429481347</c:v>
                </c:pt>
              </c:numCache>
            </c:numRef>
          </c:val>
        </c:ser>
        <c:dLbls>
          <c:showLegendKey val="0"/>
          <c:showVal val="0"/>
          <c:showCatName val="0"/>
          <c:showSerName val="0"/>
          <c:showPercent val="0"/>
          <c:showBubbleSize val="0"/>
        </c:dLbls>
        <c:gapWidth val="150"/>
        <c:axId val="341306368"/>
        <c:axId val="341431040"/>
      </c:barChart>
      <c:catAx>
        <c:axId val="341306368"/>
        <c:scaling>
          <c:orientation val="minMax"/>
        </c:scaling>
        <c:delete val="0"/>
        <c:axPos val="b"/>
        <c:majorTickMark val="out"/>
        <c:minorTickMark val="none"/>
        <c:tickLblPos val="nextTo"/>
        <c:crossAx val="341431040"/>
        <c:crosses val="autoZero"/>
        <c:auto val="1"/>
        <c:lblAlgn val="ctr"/>
        <c:lblOffset val="100"/>
        <c:noMultiLvlLbl val="0"/>
      </c:catAx>
      <c:valAx>
        <c:axId val="341431040"/>
        <c:scaling>
          <c:orientation val="minMax"/>
        </c:scaling>
        <c:delete val="0"/>
        <c:axPos val="l"/>
        <c:numFmt formatCode="0%" sourceLinked="0"/>
        <c:majorTickMark val="out"/>
        <c:minorTickMark val="none"/>
        <c:tickLblPos val="nextTo"/>
        <c:crossAx val="341306368"/>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solidFill>
          </c:spPr>
          <c:invertIfNegative val="0"/>
          <c:dLbls>
            <c:showLegendKey val="0"/>
            <c:showVal val="1"/>
            <c:showCatName val="0"/>
            <c:showSerName val="0"/>
            <c:showPercent val="0"/>
            <c:showBubbleSize val="0"/>
            <c:showLeaderLines val="0"/>
          </c:dLbls>
          <c:cat>
            <c:strRef>
              <c:f>'cumplimiento global'!$L$86:$S$86</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global'!$L$87:$S$87</c:f>
              <c:numCache>
                <c:formatCode>0.0%</c:formatCode>
                <c:ptCount val="8"/>
                <c:pt idx="0">
                  <c:v>0.75</c:v>
                </c:pt>
                <c:pt idx="1">
                  <c:v>0.75</c:v>
                </c:pt>
                <c:pt idx="2">
                  <c:v>0.75</c:v>
                </c:pt>
                <c:pt idx="3">
                  <c:v>0.75</c:v>
                </c:pt>
                <c:pt idx="4">
                  <c:v>0.75</c:v>
                </c:pt>
                <c:pt idx="5">
                  <c:v>0.75</c:v>
                </c:pt>
                <c:pt idx="6">
                  <c:v>0.4375</c:v>
                </c:pt>
                <c:pt idx="7">
                  <c:v>0.7053571428571429</c:v>
                </c:pt>
              </c:numCache>
            </c:numRef>
          </c:val>
        </c:ser>
        <c:dLbls>
          <c:showLegendKey val="0"/>
          <c:showVal val="0"/>
          <c:showCatName val="0"/>
          <c:showSerName val="0"/>
          <c:showPercent val="0"/>
          <c:showBubbleSize val="0"/>
        </c:dLbls>
        <c:gapWidth val="150"/>
        <c:axId val="310449280"/>
        <c:axId val="310451200"/>
      </c:barChart>
      <c:catAx>
        <c:axId val="310449280"/>
        <c:scaling>
          <c:orientation val="minMax"/>
        </c:scaling>
        <c:delete val="0"/>
        <c:axPos val="b"/>
        <c:majorTickMark val="out"/>
        <c:minorTickMark val="none"/>
        <c:tickLblPos val="nextTo"/>
        <c:crossAx val="310451200"/>
        <c:crosses val="autoZero"/>
        <c:auto val="1"/>
        <c:lblAlgn val="ctr"/>
        <c:lblOffset val="100"/>
        <c:noMultiLvlLbl val="0"/>
      </c:catAx>
      <c:valAx>
        <c:axId val="310451200"/>
        <c:scaling>
          <c:orientation val="minMax"/>
          <c:max val="1"/>
        </c:scaling>
        <c:delete val="0"/>
        <c:axPos val="l"/>
        <c:numFmt formatCode="0%" sourceLinked="0"/>
        <c:majorTickMark val="out"/>
        <c:minorTickMark val="none"/>
        <c:tickLblPos val="nextTo"/>
        <c:crossAx val="310449280"/>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438086"/>
            </a:solidFill>
          </c:spPr>
          <c:invertIfNegative val="0"/>
          <c:dLbls>
            <c:showLegendKey val="0"/>
            <c:showVal val="1"/>
            <c:showCatName val="0"/>
            <c:showSerName val="0"/>
            <c:showPercent val="0"/>
            <c:showBubbleSize val="0"/>
            <c:showLeaderLines val="0"/>
          </c:dLbls>
          <c:cat>
            <c:strRef>
              <c:f>'cumplimiento global'!$B$30:$I$30</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global'!$B$31:$I$31</c:f>
              <c:numCache>
                <c:formatCode>0.0%</c:formatCode>
                <c:ptCount val="8"/>
                <c:pt idx="0">
                  <c:v>0.85701388888888885</c:v>
                </c:pt>
                <c:pt idx="1">
                  <c:v>0.74826388888888884</c:v>
                </c:pt>
                <c:pt idx="2">
                  <c:v>0.84027777777777779</c:v>
                </c:pt>
                <c:pt idx="3">
                  <c:v>0.7270833333333333</c:v>
                </c:pt>
                <c:pt idx="4">
                  <c:v>0.859375</c:v>
                </c:pt>
                <c:pt idx="5">
                  <c:v>0.84270833333333328</c:v>
                </c:pt>
                <c:pt idx="6">
                  <c:v>0.74652777777777779</c:v>
                </c:pt>
                <c:pt idx="7">
                  <c:v>0.8030357142857143</c:v>
                </c:pt>
              </c:numCache>
            </c:numRef>
          </c:val>
        </c:ser>
        <c:dLbls>
          <c:showLegendKey val="0"/>
          <c:showVal val="0"/>
          <c:showCatName val="0"/>
          <c:showSerName val="0"/>
          <c:showPercent val="0"/>
          <c:showBubbleSize val="0"/>
        </c:dLbls>
        <c:gapWidth val="150"/>
        <c:axId val="345519232"/>
        <c:axId val="345520768"/>
      </c:barChart>
      <c:catAx>
        <c:axId val="345519232"/>
        <c:scaling>
          <c:orientation val="minMax"/>
        </c:scaling>
        <c:delete val="0"/>
        <c:axPos val="b"/>
        <c:majorTickMark val="out"/>
        <c:minorTickMark val="none"/>
        <c:tickLblPos val="nextTo"/>
        <c:crossAx val="345520768"/>
        <c:crosses val="autoZero"/>
        <c:auto val="1"/>
        <c:lblAlgn val="ctr"/>
        <c:lblOffset val="100"/>
        <c:noMultiLvlLbl val="0"/>
      </c:catAx>
      <c:valAx>
        <c:axId val="345520768"/>
        <c:scaling>
          <c:orientation val="minMax"/>
          <c:max val="1"/>
          <c:min val="0"/>
        </c:scaling>
        <c:delete val="0"/>
        <c:axPos val="l"/>
        <c:numFmt formatCode="0%" sourceLinked="0"/>
        <c:majorTickMark val="out"/>
        <c:minorTickMark val="none"/>
        <c:tickLblPos val="nextTo"/>
        <c:crossAx val="345519232"/>
        <c:crosses val="autoZero"/>
        <c:crossBetween val="between"/>
      </c:valAx>
    </c:plotArea>
    <c:plotVisOnly val="1"/>
    <c:dispBlanksAs val="gap"/>
    <c:showDLblsOverMax val="0"/>
  </c:chart>
  <c:externalData r:id="rId2">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_rels/themeOverrid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word/theme/themeOverride1.xml><?xml version="1.0" encoding="utf-8"?>
<a:themeOverride xmlns:a="http://schemas.openxmlformats.org/drawingml/2006/main">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2.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3.xml><?xml version="1.0" encoding="utf-8"?>
<ds:datastoreItem xmlns:ds="http://schemas.openxmlformats.org/officeDocument/2006/customXml" ds:itemID="{3580BF33-1DE3-4EE0-B62B-B82F913B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356</TotalTime>
  <Pages>17</Pages>
  <Words>3628</Words>
  <Characters>19959</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las Comunidades y Ciudades Autónomas.</vt:lpstr>
      <vt:lpstr/>
    </vt:vector>
  </TitlesOfParts>
  <Company>SGAD</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las Comunidades y Ciudades Autónomas.</dc:title>
  <dc:subject>Evaluaciones 2021.CTBG</dc:subject>
  <dc:creator>CTBG. Subdirección General de Transparencia y Buen Gobierno.</dc:creator>
  <cp:lastModifiedBy>anam.ruiz</cp:lastModifiedBy>
  <cp:revision>16</cp:revision>
  <dcterms:created xsi:type="dcterms:W3CDTF">2022-01-12T09:46:00Z</dcterms:created>
  <dcterms:modified xsi:type="dcterms:W3CDTF">2022-01-12T15:54:00Z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