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E93F8A" w:rsidRDefault="00E93F8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l Ayuntamiento de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Acehúche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E93F8A" w:rsidRDefault="00E93F8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l Ayuntamiento de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Acehúche</w:t>
                          </w:r>
                          <w:proofErr w:type="spell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93F8A" w:rsidRDefault="00E93F8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93F8A" w:rsidRDefault="00E93F8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3C3C06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BD65F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3C3C06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lastRenderedPageBreak/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342441" w:rsidRPr="007942B7" w:rsidTr="00183301">
        <w:tc>
          <w:tcPr>
            <w:tcW w:w="2093" w:type="dxa"/>
            <w:vMerge w:val="restart"/>
          </w:tcPr>
          <w:p w:rsidR="00342441" w:rsidRDefault="00342441" w:rsidP="00AC4A6F">
            <w:pPr>
              <w:rPr>
                <w:sz w:val="20"/>
                <w:szCs w:val="20"/>
              </w:rPr>
            </w:pPr>
          </w:p>
          <w:p w:rsidR="00342441" w:rsidRPr="007942B7" w:rsidRDefault="0034244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Localización y estructuración de la información </w:t>
            </w:r>
          </w:p>
        </w:tc>
        <w:tc>
          <w:tcPr>
            <w:tcW w:w="4819" w:type="dxa"/>
          </w:tcPr>
          <w:p w:rsidR="00342441" w:rsidRPr="007942B7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Revisar</w:t>
            </w:r>
            <w:r w:rsidRPr="00224BBF">
              <w:rPr>
                <w:sz w:val="20"/>
                <w:szCs w:val="20"/>
              </w:rPr>
              <w:t xml:space="preserve"> toda la información sujeta a publicidad activa</w:t>
            </w:r>
            <w:r>
              <w:rPr>
                <w:sz w:val="20"/>
                <w:szCs w:val="20"/>
              </w:rPr>
              <w:t xml:space="preserve"> </w:t>
            </w:r>
            <w:r w:rsidR="00C668A3" w:rsidRPr="00C668A3">
              <w:rPr>
                <w:sz w:val="20"/>
                <w:szCs w:val="20"/>
              </w:rPr>
              <w:t xml:space="preserve">contenida en los diferentes apartados y accesos de la página web del Ayuntamiento </w:t>
            </w:r>
          </w:p>
        </w:tc>
        <w:tc>
          <w:tcPr>
            <w:tcW w:w="567" w:type="dxa"/>
            <w:vAlign w:val="center"/>
          </w:tcPr>
          <w:p w:rsidR="00342441" w:rsidRPr="007942B7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42441" w:rsidRPr="007942B7" w:rsidRDefault="00E93F8A" w:rsidP="008E2F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42441" w:rsidRPr="007942B7" w:rsidTr="00183301">
        <w:tc>
          <w:tcPr>
            <w:tcW w:w="2093" w:type="dxa"/>
            <w:vMerge/>
          </w:tcPr>
          <w:p w:rsidR="00342441" w:rsidRPr="007942B7" w:rsidRDefault="0034244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42441" w:rsidRPr="007942B7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24BBF">
              <w:rPr>
                <w:sz w:val="20"/>
                <w:szCs w:val="20"/>
              </w:rPr>
              <w:t>structura</w:t>
            </w:r>
            <w:r>
              <w:rPr>
                <w:sz w:val="20"/>
                <w:szCs w:val="20"/>
              </w:rPr>
              <w:t>r</w:t>
            </w:r>
            <w:r w:rsidRPr="00224B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información conforme al patrón </w:t>
            </w:r>
            <w:r w:rsidRPr="00224BBF">
              <w:rPr>
                <w:sz w:val="20"/>
                <w:szCs w:val="20"/>
              </w:rPr>
              <w:t>que propone la LTAIBG</w:t>
            </w:r>
            <w:r w:rsidR="00BD65F0">
              <w:rPr>
                <w:sz w:val="20"/>
                <w:szCs w:val="20"/>
              </w:rPr>
              <w:t>, la norma autonómica o en su caso, ordenanza municipal</w:t>
            </w:r>
          </w:p>
        </w:tc>
        <w:tc>
          <w:tcPr>
            <w:tcW w:w="567" w:type="dxa"/>
            <w:vAlign w:val="center"/>
          </w:tcPr>
          <w:p w:rsidR="0034244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42441" w:rsidRPr="007942B7" w:rsidRDefault="00BD65F0" w:rsidP="00BD65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No, la información sigue organizándose siguiendo el modelo del Índice de Transparencia Municipal de Transparencia Internacional </w:t>
            </w:r>
          </w:p>
        </w:tc>
      </w:tr>
      <w:tr w:rsidR="00342441" w:rsidRPr="007942B7" w:rsidTr="00183301">
        <w:tc>
          <w:tcPr>
            <w:tcW w:w="2093" w:type="dxa"/>
            <w:vMerge/>
          </w:tcPr>
          <w:p w:rsidR="00342441" w:rsidRPr="007942B7" w:rsidRDefault="0034244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42441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24BBF">
              <w:rPr>
                <w:sz w:val="20"/>
                <w:szCs w:val="20"/>
              </w:rPr>
              <w:t>dentificar las obligaciones respecto de las que no se publica información por no haber actividad</w:t>
            </w:r>
          </w:p>
        </w:tc>
        <w:tc>
          <w:tcPr>
            <w:tcW w:w="567" w:type="dxa"/>
            <w:vAlign w:val="center"/>
          </w:tcPr>
          <w:p w:rsidR="0034244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42441" w:rsidRDefault="00BD65F0" w:rsidP="00BD65F0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n</w:t>
            </w:r>
            <w:r w:rsidR="00297D83">
              <w:rPr>
                <w:sz w:val="20"/>
                <w:szCs w:val="20"/>
              </w:rPr>
              <w:t xml:space="preserve">o en todas las obligaciones </w:t>
            </w:r>
            <w:r w:rsidR="00E93F8A">
              <w:rPr>
                <w:sz w:val="20"/>
                <w:szCs w:val="20"/>
              </w:rPr>
              <w:t xml:space="preserve">para las que no se publica información, </w:t>
            </w:r>
            <w:r w:rsidR="00297D83">
              <w:rPr>
                <w:sz w:val="20"/>
                <w:szCs w:val="20"/>
              </w:rPr>
              <w:t>se indica si no se publica información por no haber actividad</w:t>
            </w:r>
          </w:p>
        </w:tc>
      </w:tr>
      <w:tr w:rsidR="00224BBF" w:rsidRPr="007942B7" w:rsidTr="00183301">
        <w:tc>
          <w:tcPr>
            <w:tcW w:w="2093" w:type="dxa"/>
            <w:vMerge w:val="restart"/>
            <w:vAlign w:val="center"/>
          </w:tcPr>
          <w:p w:rsidR="00224BBF" w:rsidRPr="00C3228C" w:rsidRDefault="00224BBF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224BBF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 el inventario de actividades de tratamiento</w:t>
            </w:r>
          </w:p>
        </w:tc>
        <w:tc>
          <w:tcPr>
            <w:tcW w:w="567" w:type="dxa"/>
            <w:vAlign w:val="center"/>
          </w:tcPr>
          <w:p w:rsidR="00224BBF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7942B7" w:rsidRDefault="007E0469" w:rsidP="00616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7942B7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24BBF">
              <w:rPr>
                <w:sz w:val="20"/>
                <w:szCs w:val="20"/>
              </w:rPr>
              <w:t>ompletar el perfil y la trayectoria profesional de todos los responsables del Ayuntamiento</w:t>
            </w:r>
          </w:p>
        </w:tc>
        <w:tc>
          <w:tcPr>
            <w:tcW w:w="567" w:type="dxa"/>
            <w:vAlign w:val="center"/>
          </w:tcPr>
          <w:p w:rsidR="00224BBF" w:rsidRPr="007942B7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7942B7" w:rsidRDefault="00BD65F0" w:rsidP="008E2F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24BBF">
              <w:rPr>
                <w:sz w:val="20"/>
                <w:szCs w:val="20"/>
              </w:rPr>
              <w:t>ompletar la normativa con la referencia a la que resulta de general aplicación a las Entidades Locales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9C193C" w:rsidP="00216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 los proyectos de las disposiciones de rango reglamentario cuya iniciativa le corresponde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4A6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 xml:space="preserve">ublicar las memorias e informes que deben acompañar a </w:t>
            </w:r>
            <w:r>
              <w:rPr>
                <w:sz w:val="20"/>
                <w:szCs w:val="20"/>
              </w:rPr>
              <w:t>l</w:t>
            </w:r>
            <w:r w:rsidRPr="00224BBF">
              <w:rPr>
                <w:sz w:val="20"/>
                <w:szCs w:val="20"/>
              </w:rPr>
              <w:t>os proyectos</w:t>
            </w:r>
            <w:r>
              <w:rPr>
                <w:sz w:val="20"/>
                <w:szCs w:val="20"/>
              </w:rPr>
              <w:t xml:space="preserve"> normativos cuya iniciativa le corresponde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4A6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 los proyectos normativos y otros acuerdos que, conforme a la legislación vigente, deben ser sometidos a un periodo de información pública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4A6305" w:rsidP="004A6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24BBF">
              <w:rPr>
                <w:sz w:val="20"/>
                <w:szCs w:val="20"/>
              </w:rPr>
              <w:t>nformar de las directrices, instrucciones o respuestas a consultas planteadas por los particulares u otros órganos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856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 información sobre la distribución porcentual en volumen presupuestario de los contratos licitados según su procedimiento de adjudicación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A56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 xml:space="preserve">ublicar la relación actualizada de los convenios </w:t>
            </w:r>
            <w:r w:rsidR="00946391">
              <w:rPr>
                <w:sz w:val="20"/>
                <w:szCs w:val="20"/>
              </w:rPr>
              <w:t xml:space="preserve">y encomiendas de gestión </w:t>
            </w:r>
            <w:r w:rsidRPr="00224BBF">
              <w:rPr>
                <w:sz w:val="20"/>
                <w:szCs w:val="20"/>
              </w:rPr>
              <w:t>suscritos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45DBD" w:rsidRDefault="00645DBD" w:rsidP="00012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</w:t>
            </w:r>
            <w:r w:rsidR="00946391">
              <w:rPr>
                <w:sz w:val="20"/>
                <w:szCs w:val="20"/>
              </w:rPr>
              <w:t>e publica información correspondiente a los años</w:t>
            </w:r>
            <w:r w:rsidR="00E93F8A">
              <w:rPr>
                <w:sz w:val="20"/>
                <w:szCs w:val="20"/>
              </w:rPr>
              <w:t xml:space="preserve"> </w:t>
            </w:r>
          </w:p>
          <w:p w:rsidR="00224BBF" w:rsidRPr="0028502C" w:rsidRDefault="00946391" w:rsidP="00012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</w:tc>
      </w:tr>
      <w:tr w:rsidR="001C123C" w:rsidRPr="007942B7" w:rsidTr="00183301">
        <w:tc>
          <w:tcPr>
            <w:tcW w:w="2093" w:type="dxa"/>
            <w:vMerge/>
          </w:tcPr>
          <w:p w:rsidR="001C123C" w:rsidRPr="007942B7" w:rsidRDefault="001C123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123C" w:rsidRDefault="001C123C" w:rsidP="001C1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 la relación actualizada de l</w:t>
            </w:r>
            <w:r>
              <w:rPr>
                <w:sz w:val="20"/>
                <w:szCs w:val="20"/>
              </w:rPr>
              <w:t>a</w:t>
            </w:r>
            <w:r w:rsidRPr="00224BBF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encomiendas de gestión suscrita</w:t>
            </w:r>
            <w:r w:rsidRPr="00224BBF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1C123C" w:rsidRDefault="001C123C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C123C" w:rsidRDefault="001C123C" w:rsidP="00012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 información actualizada y comprensible sobre el estado de ejecución del Presupuesto y el cumplimiento de los objetivos de estabilidad presupuestaria y sostenibilidad financiera de las administraciones públicas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1C123C" w:rsidP="001C1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l</w:t>
            </w:r>
            <w:r w:rsidR="00243406">
              <w:rPr>
                <w:sz w:val="20"/>
                <w:szCs w:val="20"/>
              </w:rPr>
              <w:t xml:space="preserve">a última información publicada </w:t>
            </w:r>
            <w:r>
              <w:rPr>
                <w:sz w:val="20"/>
                <w:szCs w:val="20"/>
              </w:rPr>
              <w:t>-</w:t>
            </w:r>
            <w:r w:rsidR="00243406">
              <w:rPr>
                <w:sz w:val="20"/>
                <w:szCs w:val="20"/>
              </w:rPr>
              <w:t xml:space="preserve"> liquidación del Presupuesto</w:t>
            </w:r>
            <w:r>
              <w:rPr>
                <w:sz w:val="20"/>
                <w:szCs w:val="20"/>
              </w:rPr>
              <w:t xml:space="preserve"> -</w:t>
            </w:r>
            <w:r w:rsidR="00243406">
              <w:rPr>
                <w:sz w:val="20"/>
                <w:szCs w:val="20"/>
              </w:rPr>
              <w:t xml:space="preserve"> corresponde al año 2019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1C1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 xml:space="preserve">ublicar las cuentas anuales 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4F6C6A" w:rsidP="00F54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Parcialmente</w:t>
            </w:r>
            <w:r w:rsidR="001C123C">
              <w:rPr>
                <w:sz w:val="20"/>
                <w:szCs w:val="20"/>
              </w:rPr>
              <w:t xml:space="preserve">, el enlace </w:t>
            </w:r>
            <w:r>
              <w:rPr>
                <w:sz w:val="20"/>
                <w:szCs w:val="20"/>
              </w:rPr>
              <w:t>“</w:t>
            </w:r>
            <w:r w:rsidR="001C123C">
              <w:rPr>
                <w:sz w:val="20"/>
                <w:szCs w:val="20"/>
              </w:rPr>
              <w:t>publicación de cuentas en la Plataforma del Tribunal de Cuentas</w:t>
            </w:r>
            <w:r>
              <w:rPr>
                <w:sz w:val="20"/>
                <w:szCs w:val="20"/>
              </w:rPr>
              <w:t>”</w:t>
            </w:r>
            <w:r w:rsidR="001C123C">
              <w:rPr>
                <w:sz w:val="20"/>
                <w:szCs w:val="20"/>
              </w:rPr>
              <w:t xml:space="preserve"> abre una página que no contiene información</w:t>
            </w:r>
            <w:r>
              <w:rPr>
                <w:sz w:val="20"/>
                <w:szCs w:val="20"/>
              </w:rPr>
              <w:t xml:space="preserve"> para el ejercicio 2020. Las </w:t>
            </w:r>
            <w:r w:rsidR="000C3AFD">
              <w:rPr>
                <w:sz w:val="20"/>
                <w:szCs w:val="20"/>
              </w:rPr>
              <w:t>últimas</w:t>
            </w:r>
            <w:r>
              <w:rPr>
                <w:sz w:val="20"/>
                <w:szCs w:val="20"/>
              </w:rPr>
              <w:t xml:space="preserve"> publicadas corresponden a 2019.</w:t>
            </w:r>
          </w:p>
        </w:tc>
      </w:tr>
      <w:tr w:rsidR="001C123C" w:rsidRPr="007942B7" w:rsidTr="00183301">
        <w:tc>
          <w:tcPr>
            <w:tcW w:w="2093" w:type="dxa"/>
            <w:vMerge/>
          </w:tcPr>
          <w:p w:rsidR="001C123C" w:rsidRPr="007942B7" w:rsidRDefault="001C123C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123C" w:rsidRDefault="001C123C" w:rsidP="001C1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 los informes de auditoría de cuentas y de fiscalización por parte de los órganos de control externo que sobre ellos se emitan</w:t>
            </w:r>
          </w:p>
        </w:tc>
        <w:tc>
          <w:tcPr>
            <w:tcW w:w="567" w:type="dxa"/>
            <w:vAlign w:val="center"/>
          </w:tcPr>
          <w:p w:rsidR="001C123C" w:rsidRDefault="001C123C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C123C" w:rsidRDefault="001C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indica que “n</w:t>
            </w:r>
            <w:r w:rsidRPr="00F54DF5">
              <w:rPr>
                <w:sz w:val="20"/>
                <w:szCs w:val="20"/>
              </w:rPr>
              <w:t xml:space="preserve">o hay informes de auditoría de cuentas y/o de fiscalización por parte de los órganos de control externo, como la Cámara o Tribunal de Cuentas para el Ayuntamiento de </w:t>
            </w:r>
            <w:proofErr w:type="spellStart"/>
            <w:r w:rsidRPr="00F54DF5">
              <w:rPr>
                <w:sz w:val="20"/>
                <w:szCs w:val="20"/>
              </w:rPr>
              <w:t>Acehúche</w:t>
            </w:r>
            <w:proofErr w:type="spellEnd"/>
            <w:r>
              <w:rPr>
                <w:sz w:val="20"/>
                <w:szCs w:val="20"/>
              </w:rPr>
              <w:t>”.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</w:t>
            </w:r>
            <w:r w:rsidRPr="00224BBF">
              <w:rPr>
                <w:sz w:val="20"/>
                <w:szCs w:val="20"/>
              </w:rPr>
              <w:t xml:space="preserve"> las retribuciones percibidas anualmente por los altos cargos y máximos responsables del Ayuntamiento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4F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los últimos datos publicados son de 2019 y corresponden a la anterior corporación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</w:t>
            </w:r>
            <w:r>
              <w:rPr>
                <w:sz w:val="20"/>
                <w:szCs w:val="20"/>
              </w:rPr>
              <w:t xml:space="preserve"> </w:t>
            </w:r>
            <w:r w:rsidRPr="00224BBF">
              <w:rPr>
                <w:sz w:val="20"/>
                <w:szCs w:val="20"/>
              </w:rPr>
              <w:t xml:space="preserve">las indemnizaciones percibidas, en su caso, por los altos cargos y máximos responsables del Ayuntamiento con ocasión del abandono del cargo 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1C123C" w:rsidP="0028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se informa que no se han concedido indemnizaciones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 las resoluciones de autorización o reconocimiento de compatibilidad que afecten a los empleados públicos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A011C9" w:rsidP="004F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4F6C6A" w:rsidRPr="007942B7" w:rsidTr="00183301">
        <w:tc>
          <w:tcPr>
            <w:tcW w:w="2093" w:type="dxa"/>
            <w:vMerge/>
          </w:tcPr>
          <w:p w:rsidR="004F6C6A" w:rsidRPr="007942B7" w:rsidRDefault="004F6C6A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F6C6A" w:rsidRDefault="004F6C6A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las declaraciones de bienes y actividades de los representantes locales</w:t>
            </w:r>
          </w:p>
        </w:tc>
        <w:tc>
          <w:tcPr>
            <w:tcW w:w="567" w:type="dxa"/>
            <w:vAlign w:val="center"/>
          </w:tcPr>
          <w:p w:rsidR="004F6C6A" w:rsidRDefault="004F6C6A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4F6C6A" w:rsidRDefault="004F6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indicándose que esta información está disponible en la Secretaría del Ayuntamiento</w:t>
            </w:r>
          </w:p>
        </w:tc>
      </w:tr>
      <w:tr w:rsidR="00224BBF" w:rsidRPr="007942B7" w:rsidTr="00183301">
        <w:tc>
          <w:tcPr>
            <w:tcW w:w="2093" w:type="dxa"/>
            <w:vMerge/>
          </w:tcPr>
          <w:p w:rsidR="00224BBF" w:rsidRPr="007942B7" w:rsidRDefault="00224BBF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24BBF" w:rsidRPr="003145AC" w:rsidRDefault="00224BBF" w:rsidP="002D1D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24BBF">
              <w:rPr>
                <w:sz w:val="20"/>
                <w:szCs w:val="20"/>
              </w:rPr>
              <w:t>ublicar la información estadística que permita valorar el grado de cumplimiento y calidad de los servicios públicos que sean de la competencia de la Corporación local</w:t>
            </w:r>
          </w:p>
        </w:tc>
        <w:tc>
          <w:tcPr>
            <w:tcW w:w="567" w:type="dxa"/>
            <w:vAlign w:val="center"/>
          </w:tcPr>
          <w:p w:rsidR="00224BBF" w:rsidRPr="00183301" w:rsidRDefault="008566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24BBF" w:rsidRPr="0028502C" w:rsidRDefault="00A0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ha localizado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BE14D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C668A3" w:rsidP="00C718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668A3">
              <w:rPr>
                <w:sz w:val="20"/>
                <w:szCs w:val="20"/>
              </w:rPr>
              <w:t>rganizar la información según grupos de obligaciones, evitando su dispersión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BE14D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28502C" w:rsidP="00727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Revisada de oficio. </w:t>
            </w: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BE14D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F03D53" w:rsidP="00F03D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no siempre se encuentra datada y actualizada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E93F8A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80605C" w:rsidRDefault="00434403" w:rsidP="0080605C">
      <w:pPr>
        <w:jc w:val="both"/>
      </w:pPr>
      <w:r>
        <w:lastRenderedPageBreak/>
        <w:t xml:space="preserve">El Ayuntamiento de </w:t>
      </w:r>
      <w:proofErr w:type="spellStart"/>
      <w:r>
        <w:t>A</w:t>
      </w:r>
      <w:r w:rsidR="007E0469">
        <w:t>cehúche</w:t>
      </w:r>
      <w:proofErr w:type="spellEnd"/>
      <w:r w:rsidR="007E0469">
        <w:t xml:space="preserve"> </w:t>
      </w:r>
      <w:r w:rsidR="00E93F8A" w:rsidRPr="00E93F8A">
        <w:t xml:space="preserve">ha aplicado 5 de las </w:t>
      </w:r>
      <w:r w:rsidR="0080605C" w:rsidRPr="00E93F8A">
        <w:t>recomendaciones</w:t>
      </w:r>
      <w:r w:rsidR="0080605C">
        <w:t xml:space="preserve"> efectuadas por este CTBG como consecuencia de la evaluación realizada en 2020. </w:t>
      </w:r>
    </w:p>
    <w:p w:rsidR="00856623" w:rsidRDefault="00856623" w:rsidP="0080605C">
      <w:pPr>
        <w:jc w:val="both"/>
      </w:pPr>
    </w:p>
    <w:p w:rsidR="00E93F8A" w:rsidRDefault="00E93F8A" w:rsidP="0080605C">
      <w:pPr>
        <w:jc w:val="both"/>
      </w:pPr>
    </w:p>
    <w:p w:rsidR="003F6EDC" w:rsidRPr="002D27E4" w:rsidRDefault="002D27E4" w:rsidP="002D1DA5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D93791" wp14:editId="03356A34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380D08" wp14:editId="0858B1F8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93F8A" w:rsidRPr="00F31BC3" w:rsidRDefault="00E93F8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1C17CC" wp14:editId="60C9DE8D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93F8A" w:rsidRPr="00F31BC3" w:rsidRDefault="00E93F8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01C17CC" wp14:editId="60C9DE8D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558" w:type="dxa"/>
        <w:tblInd w:w="-318" w:type="dxa"/>
        <w:tblLook w:val="04A0" w:firstRow="1" w:lastRow="0" w:firstColumn="1" w:lastColumn="0" w:noHBand="0" w:noVBand="1"/>
      </w:tblPr>
      <w:tblGrid>
        <w:gridCol w:w="482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E93F8A" w:rsidRPr="00225B8D" w:rsidTr="00E93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93F8A" w:rsidRPr="00225B8D" w:rsidRDefault="00E93F8A" w:rsidP="00E93F8A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93F8A" w:rsidRPr="00225B8D" w:rsidRDefault="00E93F8A" w:rsidP="00E93F8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93F8A" w:rsidRPr="00225B8D" w:rsidRDefault="00E93F8A" w:rsidP="00E93F8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93F8A" w:rsidRPr="00225B8D" w:rsidRDefault="00E93F8A" w:rsidP="00E93F8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93F8A" w:rsidRPr="00225B8D" w:rsidRDefault="00E93F8A" w:rsidP="00E93F8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93F8A" w:rsidRPr="00225B8D" w:rsidRDefault="00E93F8A" w:rsidP="00E93F8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93F8A" w:rsidRPr="00225B8D" w:rsidRDefault="00E93F8A" w:rsidP="00E93F8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93F8A" w:rsidRPr="00225B8D" w:rsidRDefault="00E93F8A" w:rsidP="00E93F8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93F8A" w:rsidRPr="00225B8D" w:rsidRDefault="00E93F8A" w:rsidP="00E93F8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E93F8A" w:rsidRPr="00225B8D" w:rsidTr="00E9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93F8A" w:rsidRPr="00225B8D" w:rsidRDefault="00E93F8A" w:rsidP="00E93F8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82,9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81,2</w:t>
            </w:r>
          </w:p>
        </w:tc>
      </w:tr>
      <w:tr w:rsidR="00E93F8A" w:rsidRPr="00225B8D" w:rsidTr="00E93F8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E93F8A" w:rsidRPr="00225B8D" w:rsidRDefault="00E93F8A" w:rsidP="00E93F8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F0303">
              <w:rPr>
                <w:rFonts w:eastAsia="Calibri" w:cs="Calibri"/>
                <w:sz w:val="16"/>
                <w:szCs w:val="16"/>
              </w:rPr>
              <w:t>De relevancia jurídica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0,0</w:t>
            </w:r>
          </w:p>
        </w:tc>
      </w:tr>
      <w:tr w:rsidR="00E93F8A" w:rsidRPr="00225B8D" w:rsidTr="00E9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93F8A" w:rsidRPr="00225B8D" w:rsidRDefault="00E93F8A" w:rsidP="00E93F8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38,9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37,8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38,9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38,9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38,9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37,1</w:t>
            </w:r>
          </w:p>
        </w:tc>
      </w:tr>
      <w:tr w:rsidR="00E93F8A" w:rsidRPr="00225B8D" w:rsidTr="00E93F8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E93F8A" w:rsidRPr="00225B8D" w:rsidRDefault="00E93F8A" w:rsidP="00E93F8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25B8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93F8A">
              <w:rPr>
                <w:sz w:val="18"/>
                <w:szCs w:val="18"/>
              </w:rPr>
              <w:t>100,0</w:t>
            </w:r>
          </w:p>
        </w:tc>
      </w:tr>
      <w:tr w:rsidR="00E93F8A" w:rsidRPr="00225B8D" w:rsidTr="00E9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93F8A" w:rsidRPr="00225B8D" w:rsidRDefault="00E93F8A" w:rsidP="00E93F8A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25B8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93F8A">
              <w:rPr>
                <w:b/>
                <w:i/>
                <w:sz w:val="18"/>
                <w:szCs w:val="18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93F8A">
              <w:rPr>
                <w:b/>
                <w:i/>
                <w:sz w:val="18"/>
                <w:szCs w:val="18"/>
              </w:rPr>
              <w:t>46,7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93F8A">
              <w:rPr>
                <w:b/>
                <w:i/>
                <w:sz w:val="18"/>
                <w:szCs w:val="18"/>
              </w:rPr>
              <w:t>45,3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93F8A">
              <w:rPr>
                <w:b/>
                <w:i/>
                <w:sz w:val="18"/>
                <w:szCs w:val="18"/>
              </w:rPr>
              <w:t>46,7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93F8A">
              <w:rPr>
                <w:b/>
                <w:i/>
                <w:sz w:val="18"/>
                <w:szCs w:val="18"/>
              </w:rPr>
              <w:t>46,7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93F8A">
              <w:rPr>
                <w:b/>
                <w:i/>
                <w:sz w:val="18"/>
                <w:szCs w:val="18"/>
              </w:rPr>
              <w:t>43,3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93F8A">
              <w:rPr>
                <w:b/>
                <w:i/>
                <w:sz w:val="18"/>
                <w:szCs w:val="18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E93F8A" w:rsidRPr="00E93F8A" w:rsidRDefault="00E93F8A" w:rsidP="00E93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93F8A">
              <w:rPr>
                <w:b/>
                <w:i/>
                <w:sz w:val="18"/>
                <w:szCs w:val="18"/>
              </w:rPr>
              <w:t>44,6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E93F8A" w:rsidRDefault="00E93F8A" w:rsidP="00E93F8A">
      <w:pPr>
        <w:pStyle w:val="Cuerpodelboletn"/>
        <w:rPr>
          <w:lang w:bidi="es-ES"/>
        </w:rPr>
      </w:pPr>
      <w:r>
        <w:rPr>
          <w:lang w:bidi="es-ES"/>
        </w:rPr>
        <w:t>El Índice de Cumplimiento de la Información Obligatoria (ICIO) se sitúa en el 44,6%. La falta de publicación de contenidos obligatorios – no se publica o los contenidos están muy desactualizados en  el 58,3% de ellos – y la publicación de algunas informaciones en formatos no reutilizables</w:t>
      </w:r>
      <w:r>
        <w:rPr>
          <w:rFonts w:eastAsia="Times New Roman" w:cs="Times New Roman"/>
          <w:szCs w:val="22"/>
          <w:lang w:eastAsia="es-ES"/>
        </w:rPr>
        <w:t xml:space="preserve">, </w:t>
      </w:r>
      <w:r w:rsidRPr="00225B8D">
        <w:rPr>
          <w:rFonts w:eastAsia="Times New Roman" w:cs="Times New Roman"/>
          <w:szCs w:val="22"/>
          <w:lang w:eastAsia="es-ES"/>
        </w:rPr>
        <w:t>son los factores que explican el nivel de cumplimiento alcanzado</w:t>
      </w:r>
      <w:r>
        <w:rPr>
          <w:lang w:bidi="es-ES"/>
        </w:rPr>
        <w:t>.</w:t>
      </w:r>
    </w:p>
    <w:p w:rsidR="00E93F8A" w:rsidRDefault="00E93F8A" w:rsidP="00E93F8A">
      <w:pPr>
        <w:pStyle w:val="Cuerpodelboletn"/>
        <w:rPr>
          <w:lang w:bidi="es-ES"/>
        </w:rPr>
      </w:pPr>
      <w:r>
        <w:rPr>
          <w:lang w:bidi="es-ES"/>
        </w:rPr>
        <w:t>Respecto de 2020, el ICIO se ha incrementado en 11,4 puntos porcentuales.</w:t>
      </w:r>
    </w:p>
    <w:p w:rsidR="00E93F8A" w:rsidRDefault="00E93F8A" w:rsidP="00F05E2C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80605C" w:rsidRDefault="00E93F8A" w:rsidP="0080605C">
      <w:pPr>
        <w:pStyle w:val="Cuerpodelboletn"/>
      </w:pPr>
      <w:r>
        <w:t xml:space="preserve">Aunque </w:t>
      </w:r>
      <w:r w:rsidR="0080605C">
        <w:t>la evolución del cumplimiento de las obligaciones de publicidad activa por parte de</w:t>
      </w:r>
      <w:r w:rsidR="00434403">
        <w:t xml:space="preserve">l Ayuntamiento de </w:t>
      </w:r>
      <w:proofErr w:type="spellStart"/>
      <w:r w:rsidR="00434403">
        <w:t>A</w:t>
      </w:r>
      <w:r w:rsidR="007E0469">
        <w:t>cehúche</w:t>
      </w:r>
      <w:proofErr w:type="spellEnd"/>
      <w:r>
        <w:t xml:space="preserve"> ha sido positiva, sigue existiendo un amplísimo margen de mejora. </w:t>
      </w:r>
      <w:r w:rsidR="005910BE">
        <w:t xml:space="preserve"> </w:t>
      </w:r>
      <w:r>
        <w:t>Se ha aplicado una quinta parte de las recomendaciones efectuadas en 2020 y como consecuencia de esto, persisten la mayoría de los déficits evidenciados en aquel momento:</w:t>
      </w:r>
    </w:p>
    <w:p w:rsidR="00C718B1" w:rsidRDefault="00C718B1" w:rsidP="00C718B1">
      <w:pPr>
        <w:pStyle w:val="Cuerpodelboletn"/>
        <w:numPr>
          <w:ilvl w:val="0"/>
          <w:numId w:val="19"/>
        </w:numPr>
      </w:pPr>
      <w:r>
        <w:t>Se debe revisar</w:t>
      </w:r>
      <w:r w:rsidRPr="00C718B1">
        <w:t xml:space="preserve"> la ubicación de la información, </w:t>
      </w:r>
      <w:r>
        <w:t>pues parte de la misma</w:t>
      </w:r>
      <w:r w:rsidRPr="00C718B1">
        <w:t xml:space="preserve"> se </w:t>
      </w:r>
      <w:r w:rsidR="00C65C9B">
        <w:t>localiza</w:t>
      </w:r>
      <w:r w:rsidRPr="00C718B1">
        <w:t xml:space="preserve"> fuera del Portal de Transparencia.</w:t>
      </w:r>
    </w:p>
    <w:p w:rsidR="00297D83" w:rsidRDefault="00297D83" w:rsidP="00297D83">
      <w:pPr>
        <w:pStyle w:val="Cuerpodelboletn"/>
        <w:numPr>
          <w:ilvl w:val="0"/>
          <w:numId w:val="19"/>
        </w:numPr>
      </w:pPr>
      <w:r>
        <w:t xml:space="preserve">La información se debe estructurar conforme al patrón de la LTAIBG o de la Ley </w:t>
      </w:r>
      <w:r w:rsidRPr="00297D83">
        <w:t>4/2013, de 21 de mayo, de Gobierno Abierto de Extremadura</w:t>
      </w:r>
      <w:r>
        <w:t>.</w:t>
      </w:r>
    </w:p>
    <w:p w:rsidR="00C65C9B" w:rsidRDefault="00C65C9B" w:rsidP="00C65C9B">
      <w:pPr>
        <w:pStyle w:val="Cuerpodelboletn"/>
        <w:numPr>
          <w:ilvl w:val="0"/>
          <w:numId w:val="19"/>
        </w:numPr>
      </w:pPr>
      <w:r>
        <w:t xml:space="preserve">Se ha de identificar en todos los casos </w:t>
      </w:r>
      <w:r w:rsidRPr="00C65C9B">
        <w:t>las obligaciones respecto de las que no se publica información por no haber actividad</w:t>
      </w:r>
    </w:p>
    <w:p w:rsidR="007E0469" w:rsidRDefault="00E93F8A" w:rsidP="007E0469">
      <w:pPr>
        <w:pStyle w:val="Cuerpodelboletn"/>
        <w:numPr>
          <w:ilvl w:val="0"/>
          <w:numId w:val="19"/>
        </w:numPr>
      </w:pPr>
      <w:r>
        <w:lastRenderedPageBreak/>
        <w:t>No se publica</w:t>
      </w:r>
      <w:r w:rsidR="007E0469">
        <w:t xml:space="preserve"> el Inventario de Actividades de Tratamiento.</w:t>
      </w:r>
    </w:p>
    <w:p w:rsidR="00C65C9B" w:rsidRDefault="00E93F8A" w:rsidP="00C65C9B">
      <w:pPr>
        <w:pStyle w:val="Cuerpodelboletn"/>
        <w:numPr>
          <w:ilvl w:val="0"/>
          <w:numId w:val="19"/>
        </w:numPr>
      </w:pPr>
      <w:r>
        <w:t>No se ha completado</w:t>
      </w:r>
      <w:r w:rsidR="00C65C9B" w:rsidRPr="00C65C9B">
        <w:t xml:space="preserve"> la normativa con la referencia a la que resulta de general aplicación a las Entidades Locales</w:t>
      </w:r>
    </w:p>
    <w:p w:rsidR="00E93F8A" w:rsidRDefault="00E93F8A" w:rsidP="000B0873">
      <w:pPr>
        <w:pStyle w:val="Cuerpodelboletn"/>
        <w:numPr>
          <w:ilvl w:val="0"/>
          <w:numId w:val="19"/>
        </w:numPr>
      </w:pPr>
      <w:r>
        <w:t>No se publican los proyectos de reglamentos</w:t>
      </w:r>
    </w:p>
    <w:p w:rsidR="000B0873" w:rsidRDefault="00E93F8A" w:rsidP="000B0873">
      <w:pPr>
        <w:pStyle w:val="Cuerpodelboletn"/>
        <w:numPr>
          <w:ilvl w:val="0"/>
          <w:numId w:val="19"/>
        </w:numPr>
      </w:pPr>
      <w:r>
        <w:t>No se publican</w:t>
      </w:r>
      <w:r w:rsidR="000B0873" w:rsidRPr="000B0873">
        <w:t xml:space="preserve"> las memorias e informes que deben acompañar a los proyectos normativos cuya iniciativa le corresponde</w:t>
      </w:r>
    </w:p>
    <w:p w:rsidR="0025656D" w:rsidRDefault="0025656D" w:rsidP="0025656D">
      <w:pPr>
        <w:pStyle w:val="Cuerpodelboletn"/>
        <w:numPr>
          <w:ilvl w:val="0"/>
          <w:numId w:val="19"/>
        </w:numPr>
      </w:pPr>
      <w:r>
        <w:t xml:space="preserve">No se publican </w:t>
      </w:r>
      <w:r w:rsidRPr="0025656D">
        <w:t>las directrices, instrucciones o respuestas a consultas planteadas por los particulares u otros órganos</w:t>
      </w:r>
    </w:p>
    <w:p w:rsidR="000B0873" w:rsidRDefault="0025656D" w:rsidP="000B0873">
      <w:pPr>
        <w:pStyle w:val="Cuerpodelboletn"/>
        <w:numPr>
          <w:ilvl w:val="0"/>
          <w:numId w:val="19"/>
        </w:numPr>
      </w:pPr>
      <w:r>
        <w:t>No se publican</w:t>
      </w:r>
      <w:r w:rsidR="000B0873" w:rsidRPr="000B0873">
        <w:t xml:space="preserve"> los proyectos normativos y otros acuerdos que, conforme a la legislación vigente, deben ser sometidos a un periodo de información pública</w:t>
      </w:r>
    </w:p>
    <w:p w:rsidR="00C718B1" w:rsidRDefault="0025656D" w:rsidP="00C718B1">
      <w:pPr>
        <w:pStyle w:val="Cuerpodelboletn"/>
        <w:numPr>
          <w:ilvl w:val="0"/>
          <w:numId w:val="19"/>
        </w:numPr>
      </w:pPr>
      <w:r>
        <w:t>No se indica</w:t>
      </w:r>
      <w:r w:rsidR="00F03D53">
        <w:t xml:space="preserve"> la fecha de publicación de la normativa y su vigencia. E</w:t>
      </w:r>
      <w:r w:rsidR="00C718B1" w:rsidRPr="00C718B1">
        <w:t>n determinados casos, como por ejemplo sucede con la ordenanza reguladora del mantenimiento de catastros urbanos o de la ordenanza reguladora de la tasa por ocupación del subsuelo, suelo y vuelo de la vía p</w:t>
      </w:r>
      <w:r w:rsidR="00C718B1">
        <w:t>ú</w:t>
      </w:r>
      <w:r w:rsidR="00C718B1" w:rsidRPr="00C718B1">
        <w:t>blica, no se incluye la publicación oficial, y ni siquiera consta la fecha de entrada en vigor de la Ordenanza.</w:t>
      </w:r>
    </w:p>
    <w:p w:rsidR="00F03D53" w:rsidRDefault="0025656D" w:rsidP="00F03D53">
      <w:pPr>
        <w:pStyle w:val="Prrafodelista"/>
        <w:numPr>
          <w:ilvl w:val="0"/>
          <w:numId w:val="19"/>
        </w:numPr>
        <w:jc w:val="both"/>
      </w:pPr>
      <w:r>
        <w:t>No se publica</w:t>
      </w:r>
      <w:r w:rsidR="00FE549C">
        <w:t xml:space="preserve"> </w:t>
      </w:r>
      <w:r w:rsidR="00F03D53" w:rsidRPr="00A564B0">
        <w:t>información sobre la distribución porcentual en volumen presupuestario de los contratos licitados según su procedimiento de adjudicación</w:t>
      </w:r>
      <w:r w:rsidR="00FE549C">
        <w:t>. En el apartado dedicado a ello</w:t>
      </w:r>
      <w:r w:rsidR="00F03D53">
        <w:t xml:space="preserve"> se indica textualmente “no se han encontrado elementos”.</w:t>
      </w:r>
    </w:p>
    <w:p w:rsidR="00EC4470" w:rsidRDefault="00EC4470" w:rsidP="00EC4470">
      <w:pPr>
        <w:pStyle w:val="Prrafodelista"/>
        <w:jc w:val="both"/>
      </w:pPr>
    </w:p>
    <w:p w:rsidR="00EC4470" w:rsidRDefault="0025656D" w:rsidP="00EC4470">
      <w:pPr>
        <w:pStyle w:val="Prrafodelista"/>
        <w:numPr>
          <w:ilvl w:val="0"/>
          <w:numId w:val="19"/>
        </w:numPr>
        <w:jc w:val="both"/>
      </w:pPr>
      <w:r>
        <w:t xml:space="preserve">No se publica </w:t>
      </w:r>
      <w:r w:rsidR="00EC4470" w:rsidRPr="00EC4470">
        <w:t>la relación actualizada las encomiendas de gestión, con indicación de su objeto, presupuesto, duración, obligaciones económicas y las subcontrataciones que se realicen con mención de los adjudicatarios, procedimiento seguido para la adjudicación e importe de la misma.</w:t>
      </w:r>
    </w:p>
    <w:p w:rsidR="00EC4470" w:rsidRDefault="00EC4470" w:rsidP="00EC4470">
      <w:pPr>
        <w:pStyle w:val="Prrafodelista"/>
      </w:pPr>
    </w:p>
    <w:p w:rsidR="00EC4470" w:rsidRDefault="0025656D" w:rsidP="00EC4470">
      <w:pPr>
        <w:pStyle w:val="Prrafodelista"/>
        <w:numPr>
          <w:ilvl w:val="0"/>
          <w:numId w:val="19"/>
        </w:numPr>
        <w:jc w:val="both"/>
      </w:pPr>
      <w:r>
        <w:t xml:space="preserve">No se publica </w:t>
      </w:r>
      <w:r w:rsidR="00EC4470" w:rsidRPr="00EC4470">
        <w:t>información actualizada y comprensible sobre el estado de ejecución del Presupuesto y el cumplimiento de los objetivos de estabilidad presupuestaria y sostenibilidad financiera de las administraciones públicas.</w:t>
      </w:r>
      <w:r>
        <w:t xml:space="preserve"> </w:t>
      </w:r>
    </w:p>
    <w:p w:rsidR="0025656D" w:rsidRDefault="0025656D" w:rsidP="0025656D">
      <w:pPr>
        <w:pStyle w:val="Prrafodelista"/>
      </w:pPr>
    </w:p>
    <w:p w:rsidR="00EC4470" w:rsidRDefault="0025656D" w:rsidP="00EC4470">
      <w:pPr>
        <w:pStyle w:val="Prrafodelista"/>
        <w:numPr>
          <w:ilvl w:val="0"/>
          <w:numId w:val="19"/>
        </w:numPr>
        <w:jc w:val="both"/>
      </w:pPr>
      <w:r>
        <w:t>No se han actualizado</w:t>
      </w:r>
      <w:r w:rsidR="00C718B1">
        <w:t xml:space="preserve"> las retribuciones de altos cargos, pues los últimos datos publicados corresponden al año 201</w:t>
      </w:r>
      <w:r w:rsidR="0013156F">
        <w:t>9</w:t>
      </w:r>
      <w:r>
        <w:t xml:space="preserve"> y a la anterior corporación</w:t>
      </w:r>
      <w:r w:rsidR="00C718B1">
        <w:t>.</w:t>
      </w:r>
    </w:p>
    <w:p w:rsidR="00EC4470" w:rsidRDefault="00EC4470" w:rsidP="00EC4470">
      <w:pPr>
        <w:pStyle w:val="Prrafodelista"/>
        <w:rPr>
          <w:lang w:bidi="es-ES"/>
        </w:rPr>
      </w:pPr>
    </w:p>
    <w:p w:rsidR="00EC4470" w:rsidRDefault="0025656D" w:rsidP="00EC4470">
      <w:pPr>
        <w:pStyle w:val="Prrafodelista"/>
        <w:numPr>
          <w:ilvl w:val="0"/>
          <w:numId w:val="19"/>
        </w:numPr>
        <w:jc w:val="both"/>
      </w:pPr>
      <w:r>
        <w:rPr>
          <w:lang w:bidi="es-ES"/>
        </w:rPr>
        <w:t xml:space="preserve">No se publican </w:t>
      </w:r>
      <w:r w:rsidR="0013156F">
        <w:rPr>
          <w:lang w:bidi="es-ES"/>
        </w:rPr>
        <w:t xml:space="preserve"> las resoluciones de autorización o reconocimiento de compatibilidad que afecten a los empleados públicos.</w:t>
      </w:r>
    </w:p>
    <w:p w:rsidR="00EC4470" w:rsidRDefault="00EC4470" w:rsidP="00EC4470">
      <w:pPr>
        <w:pStyle w:val="Prrafodelista"/>
        <w:rPr>
          <w:lang w:bidi="es-ES"/>
        </w:rPr>
      </w:pPr>
    </w:p>
    <w:p w:rsidR="00EC4470" w:rsidRDefault="0025656D" w:rsidP="00EC4470">
      <w:pPr>
        <w:pStyle w:val="Prrafodelista"/>
        <w:numPr>
          <w:ilvl w:val="0"/>
          <w:numId w:val="19"/>
        </w:numPr>
        <w:jc w:val="both"/>
      </w:pPr>
      <w:r>
        <w:rPr>
          <w:lang w:bidi="es-ES"/>
        </w:rPr>
        <w:t>No se publican</w:t>
      </w:r>
      <w:r w:rsidR="0013156F">
        <w:rPr>
          <w:lang w:bidi="es-ES"/>
        </w:rPr>
        <w:t xml:space="preserve"> las declaraciones anuales de bienes y actividades de los representantes locales. </w:t>
      </w:r>
    </w:p>
    <w:p w:rsidR="00EC4470" w:rsidRDefault="00EC4470" w:rsidP="00EC4470">
      <w:pPr>
        <w:pStyle w:val="Prrafodelista"/>
        <w:rPr>
          <w:lang w:bidi="es-ES"/>
        </w:rPr>
      </w:pPr>
    </w:p>
    <w:p w:rsidR="007E0469" w:rsidRDefault="0025656D" w:rsidP="00EC4470">
      <w:pPr>
        <w:pStyle w:val="Prrafodelista"/>
        <w:numPr>
          <w:ilvl w:val="0"/>
          <w:numId w:val="19"/>
        </w:numPr>
        <w:jc w:val="both"/>
      </w:pPr>
      <w:r>
        <w:rPr>
          <w:lang w:bidi="es-ES"/>
        </w:rPr>
        <w:t>No se publica</w:t>
      </w:r>
      <w:r w:rsidR="0013156F">
        <w:rPr>
          <w:lang w:bidi="es-ES"/>
        </w:rPr>
        <w:t xml:space="preserve"> información estadística que permita valorar el grado de cumplimiento y calidad de los servicios públicos que sean de la competencia de la Corporación local.</w:t>
      </w:r>
    </w:p>
    <w:p w:rsidR="00EC4470" w:rsidRDefault="00EC4470" w:rsidP="00EC4470">
      <w:pPr>
        <w:pStyle w:val="Prrafodelista"/>
      </w:pPr>
    </w:p>
    <w:p w:rsidR="00EC4470" w:rsidRDefault="00EC4470" w:rsidP="00EC4470">
      <w:pPr>
        <w:pStyle w:val="Prrafodelista"/>
        <w:numPr>
          <w:ilvl w:val="0"/>
          <w:numId w:val="19"/>
        </w:numPr>
        <w:jc w:val="both"/>
      </w:pPr>
      <w:r>
        <w:t>La información debería estructurarse dentro de cada bloque por grupos de obligaciones</w:t>
      </w:r>
    </w:p>
    <w:p w:rsidR="00EC4470" w:rsidRDefault="00EC4470" w:rsidP="00EC4470">
      <w:pPr>
        <w:pStyle w:val="Prrafodelista"/>
      </w:pPr>
    </w:p>
    <w:p w:rsidR="00EC4470" w:rsidRDefault="00EC4470" w:rsidP="00EC4470">
      <w:pPr>
        <w:pStyle w:val="Prrafodelista"/>
        <w:numPr>
          <w:ilvl w:val="0"/>
          <w:numId w:val="19"/>
        </w:numPr>
        <w:jc w:val="both"/>
      </w:pPr>
      <w:r>
        <w:t>Toda la información debería estar datada y actualizada.</w:t>
      </w:r>
    </w:p>
    <w:p w:rsidR="007E0469" w:rsidRDefault="007E0469" w:rsidP="0080605C">
      <w:pPr>
        <w:pStyle w:val="Cuerpodelboletn"/>
      </w:pPr>
    </w:p>
    <w:p w:rsidR="0080605C" w:rsidRDefault="0080605C" w:rsidP="00EC4470">
      <w:pPr>
        <w:pStyle w:val="Cuerpodelboletn"/>
        <w:jc w:val="right"/>
      </w:pPr>
      <w:bookmarkStart w:id="0" w:name="_GoBack"/>
      <w:bookmarkEnd w:id="0"/>
      <w:r>
        <w:t xml:space="preserve">Madrid, </w:t>
      </w:r>
      <w:r w:rsidR="003C3C06">
        <w:t>noviembre</w:t>
      </w:r>
      <w:r>
        <w:t xml:space="preserve"> de 2021</w:t>
      </w:r>
    </w:p>
    <w:p w:rsidR="00C259F4" w:rsidRDefault="00C259F4" w:rsidP="00965C69">
      <w:pPr>
        <w:pStyle w:val="Cuerpodelboletn"/>
        <w:sectPr w:rsidR="00C259F4" w:rsidSect="003C3C06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3A29BF" wp14:editId="4160699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C09516" wp14:editId="392439C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93F8A" w:rsidRPr="00F31BC3" w:rsidRDefault="00E93F8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9C2C313" wp14:editId="5FC2658D">
                                  <wp:extent cx="1148080" cy="64833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93F8A" w:rsidRPr="00F31BC3" w:rsidRDefault="00E93F8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9C2C313" wp14:editId="5FC2658D">
                            <wp:extent cx="1148080" cy="64833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DCA018E" wp14:editId="09AA722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AE9827A" wp14:editId="1B3F736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93F8A" w:rsidRPr="00F31BC3" w:rsidRDefault="00E93F8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350A5F" wp14:editId="78DBDD96">
                                      <wp:extent cx="1148080" cy="648335"/>
                                      <wp:effectExtent l="0" t="0" r="0" b="0"/>
                                      <wp:docPr id="10" name="Imagen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93F8A" w:rsidRPr="00F31BC3" w:rsidRDefault="00E93F8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350A5F" wp14:editId="78DBDD96">
                                <wp:extent cx="1148080" cy="648335"/>
                                <wp:effectExtent l="0" t="0" r="0" b="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3C3C06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8A" w:rsidRDefault="00E93F8A" w:rsidP="00F31BC3">
      <w:r>
        <w:separator/>
      </w:r>
    </w:p>
  </w:endnote>
  <w:endnote w:type="continuationSeparator" w:id="0">
    <w:p w:rsidR="00E93F8A" w:rsidRDefault="00E93F8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8A" w:rsidRDefault="00E93F8A" w:rsidP="00F31BC3">
      <w:r>
        <w:separator/>
      </w:r>
    </w:p>
  </w:footnote>
  <w:footnote w:type="continuationSeparator" w:id="0">
    <w:p w:rsidR="00E93F8A" w:rsidRDefault="00E93F8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4533_"/>
      </v:shape>
    </w:pict>
  </w:numPicBullet>
  <w:numPicBullet w:numPicBulletId="1">
    <w:pict>
      <v:shape id="_x0000_i1053" type="#_x0000_t75" style="width:9pt;height:9pt" o:bullet="t">
        <v:imagedata r:id="rId2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CA58AE"/>
    <w:multiLevelType w:val="hybridMultilevel"/>
    <w:tmpl w:val="B75E37A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11"/>
  </w:num>
  <w:num w:numId="13">
    <w:abstractNumId w:val="5"/>
  </w:num>
  <w:num w:numId="14">
    <w:abstractNumId w:val="17"/>
  </w:num>
  <w:num w:numId="15">
    <w:abstractNumId w:val="2"/>
  </w:num>
  <w:num w:numId="16">
    <w:abstractNumId w:val="18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28CB"/>
    <w:rsid w:val="000246B3"/>
    <w:rsid w:val="00032D8A"/>
    <w:rsid w:val="00053A0E"/>
    <w:rsid w:val="0005642F"/>
    <w:rsid w:val="00072B7E"/>
    <w:rsid w:val="000775A5"/>
    <w:rsid w:val="00087B75"/>
    <w:rsid w:val="000A6244"/>
    <w:rsid w:val="000A77F5"/>
    <w:rsid w:val="000B0873"/>
    <w:rsid w:val="000B22CE"/>
    <w:rsid w:val="000C270E"/>
    <w:rsid w:val="000C3AFD"/>
    <w:rsid w:val="000D3907"/>
    <w:rsid w:val="000D5417"/>
    <w:rsid w:val="000E0A9E"/>
    <w:rsid w:val="000E58DE"/>
    <w:rsid w:val="00104DE9"/>
    <w:rsid w:val="00104E94"/>
    <w:rsid w:val="001149B1"/>
    <w:rsid w:val="0013156F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123C"/>
    <w:rsid w:val="001C2217"/>
    <w:rsid w:val="001C3E2F"/>
    <w:rsid w:val="001C4509"/>
    <w:rsid w:val="001C7C78"/>
    <w:rsid w:val="001C7D84"/>
    <w:rsid w:val="001E5AAD"/>
    <w:rsid w:val="002127CA"/>
    <w:rsid w:val="002166AA"/>
    <w:rsid w:val="0021682B"/>
    <w:rsid w:val="00224BBF"/>
    <w:rsid w:val="00231D61"/>
    <w:rsid w:val="00236333"/>
    <w:rsid w:val="00243294"/>
    <w:rsid w:val="00243406"/>
    <w:rsid w:val="00244EDA"/>
    <w:rsid w:val="002467FA"/>
    <w:rsid w:val="0025656D"/>
    <w:rsid w:val="00263F79"/>
    <w:rsid w:val="00281510"/>
    <w:rsid w:val="0028502C"/>
    <w:rsid w:val="00297816"/>
    <w:rsid w:val="00297D83"/>
    <w:rsid w:val="002D0702"/>
    <w:rsid w:val="002D1DA5"/>
    <w:rsid w:val="002D27E4"/>
    <w:rsid w:val="002E409F"/>
    <w:rsid w:val="00304774"/>
    <w:rsid w:val="003145AC"/>
    <w:rsid w:val="0031769F"/>
    <w:rsid w:val="00333C82"/>
    <w:rsid w:val="00342441"/>
    <w:rsid w:val="00345FA7"/>
    <w:rsid w:val="00347877"/>
    <w:rsid w:val="00355DC0"/>
    <w:rsid w:val="003A1694"/>
    <w:rsid w:val="003A390C"/>
    <w:rsid w:val="003B57E6"/>
    <w:rsid w:val="003B6B96"/>
    <w:rsid w:val="003C2AD7"/>
    <w:rsid w:val="003C3C06"/>
    <w:rsid w:val="003D2C4A"/>
    <w:rsid w:val="003E564B"/>
    <w:rsid w:val="003E5D2F"/>
    <w:rsid w:val="003F6EDC"/>
    <w:rsid w:val="00410FA7"/>
    <w:rsid w:val="00415DBD"/>
    <w:rsid w:val="00422B18"/>
    <w:rsid w:val="00434403"/>
    <w:rsid w:val="004720A5"/>
    <w:rsid w:val="0047735C"/>
    <w:rsid w:val="004859CC"/>
    <w:rsid w:val="004A13C8"/>
    <w:rsid w:val="004A1663"/>
    <w:rsid w:val="004A6305"/>
    <w:rsid w:val="004B7FC7"/>
    <w:rsid w:val="004C27AC"/>
    <w:rsid w:val="004C6440"/>
    <w:rsid w:val="004D50CC"/>
    <w:rsid w:val="004D7037"/>
    <w:rsid w:val="004E7B33"/>
    <w:rsid w:val="004F6C6A"/>
    <w:rsid w:val="00506864"/>
    <w:rsid w:val="00506BBF"/>
    <w:rsid w:val="005301DF"/>
    <w:rsid w:val="00536832"/>
    <w:rsid w:val="00552924"/>
    <w:rsid w:val="00560609"/>
    <w:rsid w:val="00563295"/>
    <w:rsid w:val="005910BE"/>
    <w:rsid w:val="005B1544"/>
    <w:rsid w:val="005B79BF"/>
    <w:rsid w:val="005C4778"/>
    <w:rsid w:val="005E2505"/>
    <w:rsid w:val="005E6704"/>
    <w:rsid w:val="00601553"/>
    <w:rsid w:val="00603DFC"/>
    <w:rsid w:val="006166B4"/>
    <w:rsid w:val="0062487E"/>
    <w:rsid w:val="00633EAA"/>
    <w:rsid w:val="00635BA1"/>
    <w:rsid w:val="00642CF4"/>
    <w:rsid w:val="00645DBD"/>
    <w:rsid w:val="0066395B"/>
    <w:rsid w:val="0069673B"/>
    <w:rsid w:val="006B75D8"/>
    <w:rsid w:val="006C0CDD"/>
    <w:rsid w:val="006D0E27"/>
    <w:rsid w:val="006D33BD"/>
    <w:rsid w:val="006D49E7"/>
    <w:rsid w:val="006D4C90"/>
    <w:rsid w:val="006E75DE"/>
    <w:rsid w:val="00701B33"/>
    <w:rsid w:val="007071A8"/>
    <w:rsid w:val="00707C14"/>
    <w:rsid w:val="00714C54"/>
    <w:rsid w:val="0071691D"/>
    <w:rsid w:val="00717272"/>
    <w:rsid w:val="00727B44"/>
    <w:rsid w:val="007327CF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C430A"/>
    <w:rsid w:val="007D1701"/>
    <w:rsid w:val="007D5CBF"/>
    <w:rsid w:val="007D69D9"/>
    <w:rsid w:val="007E0469"/>
    <w:rsid w:val="007F1D56"/>
    <w:rsid w:val="007F5F9D"/>
    <w:rsid w:val="007F63AB"/>
    <w:rsid w:val="00803D20"/>
    <w:rsid w:val="00805B23"/>
    <w:rsid w:val="0080605C"/>
    <w:rsid w:val="00807495"/>
    <w:rsid w:val="00821526"/>
    <w:rsid w:val="0082470D"/>
    <w:rsid w:val="00825ACB"/>
    <w:rsid w:val="00856623"/>
    <w:rsid w:val="00882A5B"/>
    <w:rsid w:val="00887F64"/>
    <w:rsid w:val="00890C86"/>
    <w:rsid w:val="00891E6F"/>
    <w:rsid w:val="00894358"/>
    <w:rsid w:val="0089455A"/>
    <w:rsid w:val="00897D04"/>
    <w:rsid w:val="008A5AAE"/>
    <w:rsid w:val="008D6461"/>
    <w:rsid w:val="008E2F6C"/>
    <w:rsid w:val="00902A71"/>
    <w:rsid w:val="009039FD"/>
    <w:rsid w:val="00903FE0"/>
    <w:rsid w:val="00912DB4"/>
    <w:rsid w:val="009145FC"/>
    <w:rsid w:val="00946391"/>
    <w:rsid w:val="00953FE5"/>
    <w:rsid w:val="00961363"/>
    <w:rsid w:val="009654DA"/>
    <w:rsid w:val="00965C69"/>
    <w:rsid w:val="009749FA"/>
    <w:rsid w:val="00982299"/>
    <w:rsid w:val="00982FE8"/>
    <w:rsid w:val="0099442A"/>
    <w:rsid w:val="009B75CD"/>
    <w:rsid w:val="009C193C"/>
    <w:rsid w:val="009C5469"/>
    <w:rsid w:val="009D1F6D"/>
    <w:rsid w:val="009D35A4"/>
    <w:rsid w:val="009D3CC3"/>
    <w:rsid w:val="009D4047"/>
    <w:rsid w:val="009D4CB7"/>
    <w:rsid w:val="009D78CA"/>
    <w:rsid w:val="009D78D2"/>
    <w:rsid w:val="009E049D"/>
    <w:rsid w:val="009E2E6F"/>
    <w:rsid w:val="009E7254"/>
    <w:rsid w:val="00A011C9"/>
    <w:rsid w:val="00A03993"/>
    <w:rsid w:val="00A0626F"/>
    <w:rsid w:val="00A1361E"/>
    <w:rsid w:val="00A24E51"/>
    <w:rsid w:val="00A51AAD"/>
    <w:rsid w:val="00A54B8C"/>
    <w:rsid w:val="00A564B0"/>
    <w:rsid w:val="00A82709"/>
    <w:rsid w:val="00A8369C"/>
    <w:rsid w:val="00AA0AE1"/>
    <w:rsid w:val="00AC2723"/>
    <w:rsid w:val="00AC4A6F"/>
    <w:rsid w:val="00AD6065"/>
    <w:rsid w:val="00AE00AB"/>
    <w:rsid w:val="00AE4F68"/>
    <w:rsid w:val="00AE6A4F"/>
    <w:rsid w:val="00AF5151"/>
    <w:rsid w:val="00B1184C"/>
    <w:rsid w:val="00B220EC"/>
    <w:rsid w:val="00B31B25"/>
    <w:rsid w:val="00B5314A"/>
    <w:rsid w:val="00B56A3A"/>
    <w:rsid w:val="00B77C12"/>
    <w:rsid w:val="00B85EA1"/>
    <w:rsid w:val="00B87734"/>
    <w:rsid w:val="00B9237A"/>
    <w:rsid w:val="00BA03C4"/>
    <w:rsid w:val="00BA14E6"/>
    <w:rsid w:val="00BA2F41"/>
    <w:rsid w:val="00BA3611"/>
    <w:rsid w:val="00BB2529"/>
    <w:rsid w:val="00BC61D1"/>
    <w:rsid w:val="00BD18E4"/>
    <w:rsid w:val="00BD1E44"/>
    <w:rsid w:val="00BD2172"/>
    <w:rsid w:val="00BD2842"/>
    <w:rsid w:val="00BD65F0"/>
    <w:rsid w:val="00BE14D0"/>
    <w:rsid w:val="00BF4BDD"/>
    <w:rsid w:val="00C02953"/>
    <w:rsid w:val="00C1290B"/>
    <w:rsid w:val="00C213EC"/>
    <w:rsid w:val="00C22B10"/>
    <w:rsid w:val="00C24010"/>
    <w:rsid w:val="00C259F4"/>
    <w:rsid w:val="00C27705"/>
    <w:rsid w:val="00C3228C"/>
    <w:rsid w:val="00C4050E"/>
    <w:rsid w:val="00C4430D"/>
    <w:rsid w:val="00C451D3"/>
    <w:rsid w:val="00C46598"/>
    <w:rsid w:val="00C54D21"/>
    <w:rsid w:val="00C555C6"/>
    <w:rsid w:val="00C61E7F"/>
    <w:rsid w:val="00C65C9B"/>
    <w:rsid w:val="00C668A3"/>
    <w:rsid w:val="00C66E73"/>
    <w:rsid w:val="00C718B1"/>
    <w:rsid w:val="00C91330"/>
    <w:rsid w:val="00CC1FCA"/>
    <w:rsid w:val="00CC48E8"/>
    <w:rsid w:val="00CD3DE8"/>
    <w:rsid w:val="00CD5302"/>
    <w:rsid w:val="00CF21EB"/>
    <w:rsid w:val="00D014E1"/>
    <w:rsid w:val="00D01CA1"/>
    <w:rsid w:val="00D1453D"/>
    <w:rsid w:val="00D16C43"/>
    <w:rsid w:val="00D3672E"/>
    <w:rsid w:val="00D41F4C"/>
    <w:rsid w:val="00D520C8"/>
    <w:rsid w:val="00D6174F"/>
    <w:rsid w:val="00D70570"/>
    <w:rsid w:val="00D96084"/>
    <w:rsid w:val="00DA6660"/>
    <w:rsid w:val="00DC5B52"/>
    <w:rsid w:val="00DD515F"/>
    <w:rsid w:val="00DF25D7"/>
    <w:rsid w:val="00DF555F"/>
    <w:rsid w:val="00E023B5"/>
    <w:rsid w:val="00E04C65"/>
    <w:rsid w:val="00E17DF6"/>
    <w:rsid w:val="00E33169"/>
    <w:rsid w:val="00E51AC4"/>
    <w:rsid w:val="00E549E0"/>
    <w:rsid w:val="00E6528C"/>
    <w:rsid w:val="00E73F4D"/>
    <w:rsid w:val="00E84BCD"/>
    <w:rsid w:val="00E93F8A"/>
    <w:rsid w:val="00EA385F"/>
    <w:rsid w:val="00EC4470"/>
    <w:rsid w:val="00EC6A3E"/>
    <w:rsid w:val="00ED30F1"/>
    <w:rsid w:val="00ED57F6"/>
    <w:rsid w:val="00ED6104"/>
    <w:rsid w:val="00ED7D79"/>
    <w:rsid w:val="00EE3D1F"/>
    <w:rsid w:val="00EE5F85"/>
    <w:rsid w:val="00EF39ED"/>
    <w:rsid w:val="00EF5B46"/>
    <w:rsid w:val="00EF6910"/>
    <w:rsid w:val="00EF7B14"/>
    <w:rsid w:val="00F03D53"/>
    <w:rsid w:val="00F04B4F"/>
    <w:rsid w:val="00F05E2C"/>
    <w:rsid w:val="00F132F9"/>
    <w:rsid w:val="00F24BAF"/>
    <w:rsid w:val="00F25044"/>
    <w:rsid w:val="00F31BC3"/>
    <w:rsid w:val="00F36022"/>
    <w:rsid w:val="00F5342F"/>
    <w:rsid w:val="00F54DF5"/>
    <w:rsid w:val="00F614CD"/>
    <w:rsid w:val="00F7274D"/>
    <w:rsid w:val="00F85BA5"/>
    <w:rsid w:val="00F95333"/>
    <w:rsid w:val="00FA0C58"/>
    <w:rsid w:val="00FA11BE"/>
    <w:rsid w:val="00FA1911"/>
    <w:rsid w:val="00FA5997"/>
    <w:rsid w:val="00FA5AFD"/>
    <w:rsid w:val="00FA6B0E"/>
    <w:rsid w:val="00FC4E74"/>
    <w:rsid w:val="00FD4E10"/>
    <w:rsid w:val="00FE549C"/>
    <w:rsid w:val="00FF4453"/>
    <w:rsid w:val="00FF4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93F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93F8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4F71"/>
    <w:rsid w:val="001B4206"/>
    <w:rsid w:val="001C199A"/>
    <w:rsid w:val="00241C26"/>
    <w:rsid w:val="00583D19"/>
    <w:rsid w:val="005D1938"/>
    <w:rsid w:val="006509F0"/>
    <w:rsid w:val="006A3867"/>
    <w:rsid w:val="00787EBD"/>
    <w:rsid w:val="007D690F"/>
    <w:rsid w:val="008E118A"/>
    <w:rsid w:val="00A005E7"/>
    <w:rsid w:val="00AA0F7A"/>
    <w:rsid w:val="00AB2212"/>
    <w:rsid w:val="00AB484A"/>
    <w:rsid w:val="00C32372"/>
    <w:rsid w:val="00CD190A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585586-7DEA-45D9-B619-D0DFD6A5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1376</TotalTime>
  <Pages>6</Pages>
  <Words>1626</Words>
  <Characters>8945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50</cp:revision>
  <cp:lastPrinted>2008-09-26T23:14:00Z</cp:lastPrinted>
  <dcterms:created xsi:type="dcterms:W3CDTF">2021-10-07T07:40:00Z</dcterms:created>
  <dcterms:modified xsi:type="dcterms:W3CDTF">2021-12-07T13:04:00Z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