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5D33AC" w:rsidRDefault="005D33AC"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Avilés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5D33AC" w:rsidRDefault="005D33AC"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Avilés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D33AC" w:rsidRDefault="005D33A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5D33AC" w:rsidRDefault="005D33A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3C3C06">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88091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3C3C06">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lastRenderedPageBreak/>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342441" w:rsidRPr="007942B7" w:rsidTr="00183301">
        <w:tc>
          <w:tcPr>
            <w:tcW w:w="2093" w:type="dxa"/>
            <w:vMerge w:val="restart"/>
          </w:tcPr>
          <w:p w:rsidR="00342441" w:rsidRDefault="00342441" w:rsidP="00AC4A6F">
            <w:pPr>
              <w:rPr>
                <w:sz w:val="20"/>
                <w:szCs w:val="20"/>
              </w:rPr>
            </w:pPr>
          </w:p>
          <w:p w:rsidR="00342441" w:rsidRPr="007942B7" w:rsidRDefault="00342441" w:rsidP="00AC4A6F">
            <w:pPr>
              <w:rPr>
                <w:sz w:val="20"/>
                <w:szCs w:val="20"/>
              </w:rPr>
            </w:pPr>
            <w:r>
              <w:rPr>
                <w:sz w:val="20"/>
                <w:szCs w:val="20"/>
              </w:rPr>
              <w:t xml:space="preserve">Localización y estructuración de la información </w:t>
            </w:r>
          </w:p>
        </w:tc>
        <w:tc>
          <w:tcPr>
            <w:tcW w:w="4819" w:type="dxa"/>
          </w:tcPr>
          <w:p w:rsidR="00342441" w:rsidRPr="007942B7" w:rsidRDefault="00342441" w:rsidP="00CD5302">
            <w:pPr>
              <w:rPr>
                <w:sz w:val="20"/>
                <w:szCs w:val="20"/>
              </w:rPr>
            </w:pPr>
            <w:r>
              <w:rPr>
                <w:sz w:val="20"/>
                <w:szCs w:val="20"/>
              </w:rPr>
              <w:t>Dar visibilidad al Portal de Transparencia</w:t>
            </w:r>
          </w:p>
        </w:tc>
        <w:tc>
          <w:tcPr>
            <w:tcW w:w="567" w:type="dxa"/>
            <w:vAlign w:val="center"/>
          </w:tcPr>
          <w:p w:rsidR="00342441" w:rsidRPr="007942B7" w:rsidRDefault="00342441" w:rsidP="00183301">
            <w:pPr>
              <w:jc w:val="center"/>
              <w:rPr>
                <w:sz w:val="20"/>
                <w:szCs w:val="20"/>
              </w:rPr>
            </w:pPr>
            <w:r>
              <w:rPr>
                <w:sz w:val="20"/>
                <w:szCs w:val="20"/>
              </w:rPr>
              <w:t>X</w:t>
            </w:r>
          </w:p>
        </w:tc>
        <w:tc>
          <w:tcPr>
            <w:tcW w:w="3203" w:type="dxa"/>
          </w:tcPr>
          <w:p w:rsidR="00342441" w:rsidRPr="007942B7" w:rsidRDefault="0088091A" w:rsidP="000B22CE">
            <w:pPr>
              <w:rPr>
                <w:sz w:val="20"/>
                <w:szCs w:val="20"/>
              </w:rPr>
            </w:pPr>
            <w:r>
              <w:rPr>
                <w:sz w:val="20"/>
                <w:szCs w:val="20"/>
              </w:rPr>
              <w:t>Si, se ha habilitado un acceso en la parte superior de la página home</w:t>
            </w:r>
            <w:r w:rsidR="00110AE5">
              <w:rPr>
                <w:sz w:val="20"/>
                <w:szCs w:val="20"/>
              </w:rPr>
              <w:t>. No obstante es preciso señalar que el Portal cuenta con dos Portales de Transparencia que no contienen la misma información</w:t>
            </w:r>
          </w:p>
        </w:tc>
      </w:tr>
      <w:tr w:rsidR="00342441" w:rsidRPr="007942B7" w:rsidTr="00183301">
        <w:tc>
          <w:tcPr>
            <w:tcW w:w="2093" w:type="dxa"/>
            <w:vMerge/>
          </w:tcPr>
          <w:p w:rsidR="00342441" w:rsidRPr="007942B7" w:rsidRDefault="00342441" w:rsidP="00AC4A6F">
            <w:pPr>
              <w:rPr>
                <w:sz w:val="20"/>
                <w:szCs w:val="20"/>
              </w:rPr>
            </w:pPr>
          </w:p>
        </w:tc>
        <w:tc>
          <w:tcPr>
            <w:tcW w:w="4819" w:type="dxa"/>
          </w:tcPr>
          <w:p w:rsidR="00342441" w:rsidRPr="007942B7" w:rsidRDefault="0034244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342441" w:rsidRDefault="00342441" w:rsidP="00183301">
            <w:pPr>
              <w:jc w:val="center"/>
              <w:rPr>
                <w:sz w:val="20"/>
                <w:szCs w:val="20"/>
              </w:rPr>
            </w:pPr>
            <w:r>
              <w:rPr>
                <w:sz w:val="20"/>
                <w:szCs w:val="20"/>
              </w:rPr>
              <w:t>X</w:t>
            </w:r>
          </w:p>
        </w:tc>
        <w:tc>
          <w:tcPr>
            <w:tcW w:w="3203" w:type="dxa"/>
          </w:tcPr>
          <w:p w:rsidR="00342441" w:rsidRPr="007942B7" w:rsidRDefault="00BF4BDD" w:rsidP="00BF4BDD">
            <w:pPr>
              <w:jc w:val="both"/>
              <w:rPr>
                <w:sz w:val="20"/>
                <w:szCs w:val="20"/>
              </w:rPr>
            </w:pPr>
            <w:r>
              <w:rPr>
                <w:sz w:val="20"/>
                <w:szCs w:val="20"/>
              </w:rPr>
              <w:t>La información se encuentra repartida entre dos portales</w:t>
            </w:r>
          </w:p>
        </w:tc>
      </w:tr>
      <w:tr w:rsidR="00342441" w:rsidRPr="007942B7" w:rsidTr="00183301">
        <w:tc>
          <w:tcPr>
            <w:tcW w:w="2093" w:type="dxa"/>
            <w:vMerge/>
          </w:tcPr>
          <w:p w:rsidR="00342441" w:rsidRPr="007942B7" w:rsidRDefault="00342441" w:rsidP="00AC4A6F">
            <w:pPr>
              <w:rPr>
                <w:sz w:val="20"/>
                <w:szCs w:val="20"/>
              </w:rPr>
            </w:pPr>
          </w:p>
        </w:tc>
        <w:tc>
          <w:tcPr>
            <w:tcW w:w="4819" w:type="dxa"/>
          </w:tcPr>
          <w:p w:rsidR="00342441" w:rsidRDefault="00342441" w:rsidP="00AC4A6F">
            <w:pPr>
              <w:rPr>
                <w:sz w:val="20"/>
                <w:szCs w:val="20"/>
              </w:rPr>
            </w:pPr>
            <w:r>
              <w:rPr>
                <w:sz w:val="20"/>
                <w:szCs w:val="20"/>
              </w:rPr>
              <w:t>Estructurar el Portal conforme al patrón de la LTAIBG o de la Ley de Transparencia autonómica</w:t>
            </w:r>
          </w:p>
        </w:tc>
        <w:tc>
          <w:tcPr>
            <w:tcW w:w="567" w:type="dxa"/>
            <w:vAlign w:val="center"/>
          </w:tcPr>
          <w:p w:rsidR="00342441" w:rsidRDefault="00342441" w:rsidP="00183301">
            <w:pPr>
              <w:jc w:val="center"/>
              <w:rPr>
                <w:sz w:val="20"/>
                <w:szCs w:val="20"/>
              </w:rPr>
            </w:pPr>
            <w:r>
              <w:rPr>
                <w:sz w:val="20"/>
                <w:szCs w:val="20"/>
              </w:rPr>
              <w:t>X</w:t>
            </w:r>
          </w:p>
        </w:tc>
        <w:tc>
          <w:tcPr>
            <w:tcW w:w="3203" w:type="dxa"/>
          </w:tcPr>
          <w:p w:rsidR="00342441" w:rsidRDefault="0088091A" w:rsidP="0088091A">
            <w:pPr>
              <w:ind w:left="34" w:hanging="34"/>
              <w:rPr>
                <w:sz w:val="20"/>
                <w:szCs w:val="20"/>
              </w:rPr>
            </w:pPr>
            <w:r>
              <w:rPr>
                <w:sz w:val="20"/>
                <w:szCs w:val="20"/>
              </w:rPr>
              <w:t>Si, e</w:t>
            </w:r>
            <w:r w:rsidR="007F63AB">
              <w:rPr>
                <w:sz w:val="20"/>
                <w:szCs w:val="20"/>
              </w:rPr>
              <w:t>l Portal se estructura conforme al patrón establecido en la LTAIBG</w:t>
            </w:r>
          </w:p>
        </w:tc>
      </w:tr>
      <w:tr w:rsidR="00342441" w:rsidRPr="007942B7" w:rsidTr="00183301">
        <w:tc>
          <w:tcPr>
            <w:tcW w:w="2093" w:type="dxa"/>
            <w:vMerge/>
          </w:tcPr>
          <w:p w:rsidR="00342441" w:rsidRPr="007942B7" w:rsidRDefault="00342441" w:rsidP="00AC4A6F">
            <w:pPr>
              <w:rPr>
                <w:sz w:val="20"/>
                <w:szCs w:val="20"/>
              </w:rPr>
            </w:pPr>
          </w:p>
        </w:tc>
        <w:tc>
          <w:tcPr>
            <w:tcW w:w="4819" w:type="dxa"/>
          </w:tcPr>
          <w:p w:rsidR="00342441" w:rsidRDefault="00342441" w:rsidP="00AC4A6F">
            <w:pPr>
              <w:rPr>
                <w:sz w:val="20"/>
                <w:szCs w:val="20"/>
              </w:rPr>
            </w:pPr>
            <w:r>
              <w:rPr>
                <w:sz w:val="20"/>
                <w:szCs w:val="20"/>
              </w:rPr>
              <w:t>I</w:t>
            </w:r>
            <w:r w:rsidRPr="00342441">
              <w:rPr>
                <w:sz w:val="20"/>
                <w:szCs w:val="20"/>
              </w:rPr>
              <w:t>dentificar las obligaciones respecto de las que no se publica información por no haber actividad en ese ámbito haciendo constar esta circunstancia.</w:t>
            </w:r>
          </w:p>
        </w:tc>
        <w:tc>
          <w:tcPr>
            <w:tcW w:w="567" w:type="dxa"/>
            <w:vAlign w:val="center"/>
          </w:tcPr>
          <w:p w:rsidR="00342441" w:rsidRDefault="00342441" w:rsidP="00183301">
            <w:pPr>
              <w:jc w:val="center"/>
              <w:rPr>
                <w:sz w:val="20"/>
                <w:szCs w:val="20"/>
              </w:rPr>
            </w:pPr>
            <w:r>
              <w:rPr>
                <w:sz w:val="20"/>
                <w:szCs w:val="20"/>
              </w:rPr>
              <w:t>X</w:t>
            </w:r>
          </w:p>
        </w:tc>
        <w:tc>
          <w:tcPr>
            <w:tcW w:w="3203" w:type="dxa"/>
          </w:tcPr>
          <w:p w:rsidR="00342441" w:rsidRDefault="00A8369C" w:rsidP="00AE00AB">
            <w:pPr>
              <w:ind w:left="720" w:hanging="720"/>
              <w:rPr>
                <w:sz w:val="20"/>
                <w:szCs w:val="20"/>
              </w:rPr>
            </w:pPr>
            <w:r>
              <w:rPr>
                <w:sz w:val="20"/>
                <w:szCs w:val="20"/>
              </w:rPr>
              <w:t>No se ha localizado</w:t>
            </w:r>
          </w:p>
        </w:tc>
      </w:tr>
      <w:tr w:rsidR="003C3C06" w:rsidRPr="007942B7" w:rsidTr="00183301">
        <w:tc>
          <w:tcPr>
            <w:tcW w:w="2093" w:type="dxa"/>
            <w:vMerge w:val="restart"/>
            <w:vAlign w:val="center"/>
          </w:tcPr>
          <w:p w:rsidR="003C3C06" w:rsidRPr="00C3228C" w:rsidRDefault="003C3C06" w:rsidP="006D4C90">
            <w:pPr>
              <w:rPr>
                <w:sz w:val="20"/>
                <w:szCs w:val="20"/>
              </w:rPr>
            </w:pPr>
            <w:r w:rsidRPr="00C3228C">
              <w:rPr>
                <w:sz w:val="20"/>
                <w:szCs w:val="20"/>
              </w:rPr>
              <w:t>Publicación de Contenidos</w:t>
            </w:r>
          </w:p>
        </w:tc>
        <w:tc>
          <w:tcPr>
            <w:tcW w:w="4819" w:type="dxa"/>
          </w:tcPr>
          <w:p w:rsidR="003C3C06" w:rsidRDefault="003C3C06" w:rsidP="00342441">
            <w:pPr>
              <w:rPr>
                <w:sz w:val="20"/>
                <w:szCs w:val="20"/>
              </w:rPr>
            </w:pPr>
            <w:r>
              <w:rPr>
                <w:sz w:val="20"/>
                <w:szCs w:val="20"/>
              </w:rPr>
              <w:t>C</w:t>
            </w:r>
            <w:r w:rsidRPr="00342441">
              <w:rPr>
                <w:sz w:val="20"/>
                <w:szCs w:val="20"/>
              </w:rPr>
              <w:t>ompletar la normativa con la referencia a la que resulta de general aplicación a las Entidades Locales</w:t>
            </w:r>
          </w:p>
        </w:tc>
        <w:tc>
          <w:tcPr>
            <w:tcW w:w="567" w:type="dxa"/>
            <w:vAlign w:val="center"/>
          </w:tcPr>
          <w:p w:rsidR="003C3C06" w:rsidRDefault="003C3C06" w:rsidP="00183301">
            <w:pPr>
              <w:jc w:val="center"/>
              <w:rPr>
                <w:sz w:val="20"/>
                <w:szCs w:val="20"/>
              </w:rPr>
            </w:pPr>
            <w:r>
              <w:rPr>
                <w:sz w:val="20"/>
                <w:szCs w:val="20"/>
              </w:rPr>
              <w:t>X</w:t>
            </w:r>
          </w:p>
        </w:tc>
        <w:tc>
          <w:tcPr>
            <w:tcW w:w="3203" w:type="dxa"/>
          </w:tcPr>
          <w:p w:rsidR="003C3C06" w:rsidRPr="007942B7" w:rsidRDefault="003C3C06" w:rsidP="0088091A">
            <w:pPr>
              <w:rPr>
                <w:sz w:val="20"/>
                <w:szCs w:val="20"/>
              </w:rPr>
            </w:pPr>
            <w:r>
              <w:rPr>
                <w:sz w:val="20"/>
                <w:szCs w:val="20"/>
              </w:rPr>
              <w:t xml:space="preserve">No </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7942B7" w:rsidRDefault="003C3C06" w:rsidP="00342441">
            <w:pPr>
              <w:rPr>
                <w:sz w:val="20"/>
                <w:szCs w:val="20"/>
              </w:rPr>
            </w:pPr>
            <w:r>
              <w:rPr>
                <w:sz w:val="20"/>
                <w:szCs w:val="20"/>
              </w:rPr>
              <w:t>Informar</w:t>
            </w:r>
            <w:r w:rsidRPr="00342441">
              <w:rPr>
                <w:sz w:val="20"/>
                <w:szCs w:val="20"/>
              </w:rPr>
              <w:t xml:space="preserve"> sobre el perfil y trayectoria profesional de los responsables de los diferentes órganos del Ayuntamiento</w:t>
            </w:r>
          </w:p>
        </w:tc>
        <w:tc>
          <w:tcPr>
            <w:tcW w:w="567" w:type="dxa"/>
            <w:vAlign w:val="center"/>
          </w:tcPr>
          <w:p w:rsidR="003C3C06" w:rsidRPr="007942B7" w:rsidRDefault="003C3C06" w:rsidP="00183301">
            <w:pPr>
              <w:jc w:val="center"/>
              <w:rPr>
                <w:sz w:val="20"/>
                <w:szCs w:val="20"/>
              </w:rPr>
            </w:pPr>
            <w:r>
              <w:rPr>
                <w:sz w:val="20"/>
                <w:szCs w:val="20"/>
              </w:rPr>
              <w:t>X</w:t>
            </w:r>
          </w:p>
        </w:tc>
        <w:tc>
          <w:tcPr>
            <w:tcW w:w="3203" w:type="dxa"/>
          </w:tcPr>
          <w:p w:rsidR="003C3C06" w:rsidRPr="007942B7" w:rsidRDefault="003C3C06" w:rsidP="0088091A">
            <w:pPr>
              <w:rPr>
                <w:sz w:val="20"/>
                <w:szCs w:val="20"/>
              </w:rPr>
            </w:pPr>
            <w:r>
              <w:rPr>
                <w:sz w:val="20"/>
                <w:szCs w:val="20"/>
              </w:rPr>
              <w:t xml:space="preserve">No </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Default="003C3C06" w:rsidP="00342441">
            <w:pPr>
              <w:rPr>
                <w:sz w:val="20"/>
                <w:szCs w:val="20"/>
              </w:rPr>
            </w:pPr>
            <w:r>
              <w:rPr>
                <w:sz w:val="20"/>
                <w:szCs w:val="20"/>
              </w:rPr>
              <w:t>P</w:t>
            </w:r>
            <w:r w:rsidRPr="00342441">
              <w:rPr>
                <w:sz w:val="20"/>
                <w:szCs w:val="20"/>
              </w:rPr>
              <w:t>ublicar el organigrama del Ayuntamiento</w:t>
            </w:r>
          </w:p>
        </w:tc>
        <w:tc>
          <w:tcPr>
            <w:tcW w:w="567" w:type="dxa"/>
            <w:vAlign w:val="center"/>
          </w:tcPr>
          <w:p w:rsidR="003C3C06" w:rsidRPr="00183301" w:rsidRDefault="003C3C06" w:rsidP="00183301">
            <w:pPr>
              <w:jc w:val="center"/>
              <w:rPr>
                <w:sz w:val="20"/>
                <w:szCs w:val="20"/>
              </w:rPr>
            </w:pPr>
            <w:r w:rsidRPr="00183301">
              <w:rPr>
                <w:sz w:val="20"/>
                <w:szCs w:val="20"/>
              </w:rPr>
              <w:t>X</w:t>
            </w:r>
          </w:p>
        </w:tc>
        <w:tc>
          <w:tcPr>
            <w:tcW w:w="3203" w:type="dxa"/>
          </w:tcPr>
          <w:p w:rsidR="003C3C06" w:rsidRPr="0028502C" w:rsidRDefault="003C3C06" w:rsidP="0088091A">
            <w:pPr>
              <w:rPr>
                <w:sz w:val="20"/>
                <w:szCs w:val="20"/>
              </w:rPr>
            </w:pPr>
            <w:r>
              <w:rPr>
                <w:sz w:val="20"/>
                <w:szCs w:val="20"/>
              </w:rPr>
              <w:t xml:space="preserve">No </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Default="003C3C06" w:rsidP="00342441">
            <w:pPr>
              <w:rPr>
                <w:sz w:val="20"/>
                <w:szCs w:val="20"/>
              </w:rPr>
            </w:pPr>
            <w:r>
              <w:rPr>
                <w:sz w:val="20"/>
                <w:szCs w:val="20"/>
              </w:rPr>
              <w:t>I</w:t>
            </w:r>
            <w:r w:rsidRPr="00342441">
              <w:rPr>
                <w:sz w:val="20"/>
                <w:szCs w:val="20"/>
              </w:rPr>
              <w:t>nformar de los planes y programas anuales y plurianuales de la corporación local</w:t>
            </w:r>
          </w:p>
        </w:tc>
        <w:tc>
          <w:tcPr>
            <w:tcW w:w="567" w:type="dxa"/>
            <w:vAlign w:val="center"/>
          </w:tcPr>
          <w:p w:rsidR="003C3C06" w:rsidRPr="00183301" w:rsidRDefault="003C3C06" w:rsidP="00183301">
            <w:pPr>
              <w:jc w:val="center"/>
              <w:rPr>
                <w:sz w:val="20"/>
                <w:szCs w:val="20"/>
              </w:rPr>
            </w:pPr>
            <w:r w:rsidRPr="00183301">
              <w:rPr>
                <w:sz w:val="20"/>
                <w:szCs w:val="20"/>
              </w:rPr>
              <w:t>X</w:t>
            </w:r>
          </w:p>
        </w:tc>
        <w:tc>
          <w:tcPr>
            <w:tcW w:w="3203" w:type="dxa"/>
          </w:tcPr>
          <w:p w:rsidR="003C3C06" w:rsidRPr="0028502C" w:rsidRDefault="0029687A" w:rsidP="0029687A">
            <w:pPr>
              <w:rPr>
                <w:sz w:val="20"/>
                <w:szCs w:val="20"/>
              </w:rPr>
            </w:pPr>
            <w:r>
              <w:rPr>
                <w:sz w:val="20"/>
                <w:szCs w:val="20"/>
              </w:rPr>
              <w:t xml:space="preserve">Si, solo se ha localizado información completa para el </w:t>
            </w:r>
            <w:r w:rsidRPr="0029687A">
              <w:rPr>
                <w:sz w:val="20"/>
                <w:szCs w:val="20"/>
              </w:rPr>
              <w:t>Plan Estratégico de Promoción Social 2016-2020</w:t>
            </w:r>
            <w:r>
              <w:rPr>
                <w:sz w:val="20"/>
                <w:szCs w:val="20"/>
              </w:rPr>
              <w:t xml:space="preserve">. La información sobre planes se localiza fuera </w:t>
            </w:r>
            <w:r w:rsidR="003C3C06">
              <w:rPr>
                <w:sz w:val="20"/>
                <w:szCs w:val="20"/>
              </w:rPr>
              <w:t>del portal de transparencia existe un acceso denominado “planes municipales”.</w:t>
            </w:r>
            <w:r>
              <w:rPr>
                <w:sz w:val="20"/>
                <w:szCs w:val="20"/>
              </w:rPr>
              <w:t xml:space="preserve"> La información que proporciona el enlace planes y programas del Portal de Transparencia no se corresponde con los </w:t>
            </w:r>
            <w:r>
              <w:rPr>
                <w:sz w:val="20"/>
                <w:szCs w:val="20"/>
              </w:rPr>
              <w:lastRenderedPageBreak/>
              <w:t>contenidos de esta obligación</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Default="003C3C06" w:rsidP="00642CF4">
            <w:pPr>
              <w:rPr>
                <w:sz w:val="20"/>
                <w:szCs w:val="20"/>
              </w:rPr>
            </w:pPr>
            <w:r w:rsidRPr="003145AC">
              <w:rPr>
                <w:sz w:val="20"/>
                <w:szCs w:val="20"/>
              </w:rPr>
              <w:t xml:space="preserve">Informar </w:t>
            </w:r>
            <w:r>
              <w:rPr>
                <w:sz w:val="20"/>
                <w:szCs w:val="20"/>
              </w:rPr>
              <w:t xml:space="preserve">sobre </w:t>
            </w:r>
            <w:r w:rsidRPr="00642CF4">
              <w:rPr>
                <w:sz w:val="20"/>
                <w:szCs w:val="20"/>
              </w:rPr>
              <w:t>la evaluación de</w:t>
            </w:r>
            <w:r>
              <w:rPr>
                <w:sz w:val="20"/>
                <w:szCs w:val="20"/>
              </w:rPr>
              <w:t xml:space="preserve">l </w:t>
            </w:r>
            <w:r w:rsidRPr="00642CF4">
              <w:rPr>
                <w:sz w:val="20"/>
                <w:szCs w:val="20"/>
              </w:rPr>
              <w:t>grado de cumplimiento y resultados, junto con los indicadores de medida y valoración</w:t>
            </w:r>
            <w:r>
              <w:rPr>
                <w:sz w:val="20"/>
                <w:szCs w:val="20"/>
              </w:rPr>
              <w:t xml:space="preserve">, de </w:t>
            </w:r>
            <w:r w:rsidRPr="00642CF4">
              <w:rPr>
                <w:sz w:val="20"/>
                <w:szCs w:val="20"/>
              </w:rPr>
              <w:t>los planes y programas anuales y plurianuales de la corporación local</w:t>
            </w:r>
          </w:p>
        </w:tc>
        <w:tc>
          <w:tcPr>
            <w:tcW w:w="567" w:type="dxa"/>
            <w:vAlign w:val="center"/>
          </w:tcPr>
          <w:p w:rsidR="003C3C06" w:rsidRPr="00183301" w:rsidRDefault="003C3C06" w:rsidP="00183301">
            <w:pPr>
              <w:jc w:val="center"/>
              <w:rPr>
                <w:sz w:val="20"/>
                <w:szCs w:val="20"/>
              </w:rPr>
            </w:pPr>
            <w:r w:rsidRPr="00183301">
              <w:rPr>
                <w:sz w:val="20"/>
                <w:szCs w:val="20"/>
              </w:rPr>
              <w:t>X</w:t>
            </w:r>
          </w:p>
        </w:tc>
        <w:tc>
          <w:tcPr>
            <w:tcW w:w="3203" w:type="dxa"/>
          </w:tcPr>
          <w:p w:rsidR="003C3C06" w:rsidRPr="0028502C" w:rsidRDefault="0029687A">
            <w:pPr>
              <w:rPr>
                <w:sz w:val="20"/>
                <w:szCs w:val="20"/>
              </w:rPr>
            </w:pPr>
            <w:r>
              <w:rPr>
                <w:sz w:val="20"/>
                <w:szCs w:val="20"/>
              </w:rPr>
              <w:t>No</w:t>
            </w:r>
          </w:p>
        </w:tc>
      </w:tr>
      <w:tr w:rsidR="0029687A" w:rsidRPr="007942B7" w:rsidTr="00183301">
        <w:tc>
          <w:tcPr>
            <w:tcW w:w="2093" w:type="dxa"/>
            <w:vMerge/>
          </w:tcPr>
          <w:p w:rsidR="0029687A" w:rsidRPr="007942B7" w:rsidRDefault="0029687A" w:rsidP="00AC4A6F">
            <w:pPr>
              <w:rPr>
                <w:sz w:val="20"/>
                <w:szCs w:val="20"/>
              </w:rPr>
            </w:pPr>
          </w:p>
        </w:tc>
        <w:tc>
          <w:tcPr>
            <w:tcW w:w="4819" w:type="dxa"/>
          </w:tcPr>
          <w:p w:rsidR="0029687A" w:rsidRDefault="0029687A" w:rsidP="0029687A">
            <w:pPr>
              <w:rPr>
                <w:sz w:val="20"/>
                <w:szCs w:val="20"/>
              </w:rPr>
            </w:pPr>
            <w:r w:rsidRPr="0029687A">
              <w:rPr>
                <w:sz w:val="20"/>
                <w:szCs w:val="20"/>
              </w:rPr>
              <w:t>Informar sobre los indicadores de medida y valoración, de los planes y programas anuales y plurianuales de la corporación local</w:t>
            </w:r>
          </w:p>
        </w:tc>
        <w:tc>
          <w:tcPr>
            <w:tcW w:w="567" w:type="dxa"/>
            <w:vAlign w:val="center"/>
          </w:tcPr>
          <w:p w:rsidR="0029687A" w:rsidRDefault="0029687A" w:rsidP="00183301">
            <w:pPr>
              <w:jc w:val="center"/>
              <w:rPr>
                <w:sz w:val="20"/>
                <w:szCs w:val="20"/>
              </w:rPr>
            </w:pPr>
            <w:r>
              <w:rPr>
                <w:sz w:val="20"/>
                <w:szCs w:val="20"/>
              </w:rPr>
              <w:t>X</w:t>
            </w:r>
          </w:p>
        </w:tc>
        <w:tc>
          <w:tcPr>
            <w:tcW w:w="3203" w:type="dxa"/>
          </w:tcPr>
          <w:p w:rsidR="0029687A" w:rsidRDefault="0029687A">
            <w:pPr>
              <w:rPr>
                <w:sz w:val="20"/>
                <w:szCs w:val="20"/>
              </w:rPr>
            </w:pPr>
            <w:r>
              <w:rPr>
                <w:sz w:val="20"/>
                <w:szCs w:val="20"/>
              </w:rPr>
              <w:t>Si, aunque esta información sólo se incluye para el Plan Estratégico de Promoción Social 2016-2020</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Publicar</w:t>
            </w:r>
            <w:r w:rsidRPr="00642CF4">
              <w:rPr>
                <w:sz w:val="20"/>
                <w:szCs w:val="20"/>
              </w:rPr>
              <w:t xml:space="preserve"> los proyectos de las disposiciones de rango reglamentario cuya iniciativa le corresponde</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D33D63" w:rsidP="00D33D63">
            <w:pPr>
              <w:rPr>
                <w:sz w:val="20"/>
                <w:szCs w:val="20"/>
              </w:rPr>
            </w:pPr>
            <w:r>
              <w:rPr>
                <w:sz w:val="20"/>
                <w:szCs w:val="20"/>
              </w:rPr>
              <w:t xml:space="preserve">No. </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P</w:t>
            </w:r>
            <w:r w:rsidRPr="00642CF4">
              <w:rPr>
                <w:sz w:val="20"/>
                <w:szCs w:val="20"/>
              </w:rPr>
              <w:t>ublicar las memorias e informes que deben acompañar a estos proyectos</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3C3C06">
            <w:pPr>
              <w:rPr>
                <w:sz w:val="20"/>
                <w:szCs w:val="20"/>
              </w:rPr>
            </w:pPr>
            <w:r>
              <w:rPr>
                <w:sz w:val="20"/>
                <w:szCs w:val="20"/>
              </w:rPr>
              <w:t>No se ha localizado</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P</w:t>
            </w:r>
            <w:r w:rsidRPr="00642CF4">
              <w:rPr>
                <w:sz w:val="20"/>
                <w:szCs w:val="20"/>
              </w:rPr>
              <w:t>ublicar los proyectos normativos y otros acuerdos que, conforme a la legislación vigente, deben ser sometidos a un periodo de información pública</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D33D63">
            <w:pPr>
              <w:rPr>
                <w:sz w:val="20"/>
                <w:szCs w:val="20"/>
              </w:rPr>
            </w:pPr>
            <w:r>
              <w:rPr>
                <w:sz w:val="20"/>
                <w:szCs w:val="20"/>
              </w:rPr>
              <w:t xml:space="preserve">Si </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I</w:t>
            </w:r>
            <w:r w:rsidRPr="00642CF4">
              <w:rPr>
                <w:sz w:val="20"/>
                <w:szCs w:val="20"/>
              </w:rPr>
              <w:t>nformar de las directrices, instrucciones o respuestas a consultas planteadas por los particulares u otros órganos</w:t>
            </w:r>
          </w:p>
        </w:tc>
        <w:tc>
          <w:tcPr>
            <w:tcW w:w="567" w:type="dxa"/>
            <w:vAlign w:val="center"/>
          </w:tcPr>
          <w:p w:rsidR="003C3C06" w:rsidRPr="00183301" w:rsidRDefault="003C3C06" w:rsidP="00183301">
            <w:pPr>
              <w:jc w:val="center"/>
              <w:rPr>
                <w:sz w:val="20"/>
                <w:szCs w:val="20"/>
              </w:rPr>
            </w:pPr>
          </w:p>
        </w:tc>
        <w:tc>
          <w:tcPr>
            <w:tcW w:w="3203" w:type="dxa"/>
          </w:tcPr>
          <w:p w:rsidR="003C3C06" w:rsidRPr="0028502C" w:rsidRDefault="003C3C06" w:rsidP="00D33D63">
            <w:pPr>
              <w:rPr>
                <w:sz w:val="20"/>
                <w:szCs w:val="20"/>
              </w:rPr>
            </w:pPr>
            <w:r>
              <w:rPr>
                <w:sz w:val="20"/>
                <w:szCs w:val="20"/>
              </w:rPr>
              <w:t xml:space="preserve">No </w:t>
            </w:r>
          </w:p>
        </w:tc>
      </w:tr>
      <w:tr w:rsidR="003C3C06" w:rsidRPr="007942B7" w:rsidTr="00183301">
        <w:tc>
          <w:tcPr>
            <w:tcW w:w="2093" w:type="dxa"/>
            <w:vMerge w:val="restart"/>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P</w:t>
            </w:r>
            <w:r w:rsidRPr="00642CF4">
              <w:rPr>
                <w:sz w:val="20"/>
                <w:szCs w:val="20"/>
              </w:rPr>
              <w:t>ublicar las modificaciones, desistimientos y renuncias de los contratos</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3C3C06" w:rsidP="00D33D63">
            <w:pPr>
              <w:rPr>
                <w:sz w:val="20"/>
                <w:szCs w:val="20"/>
              </w:rPr>
            </w:pPr>
            <w:r>
              <w:rPr>
                <w:sz w:val="20"/>
                <w:szCs w:val="20"/>
              </w:rPr>
              <w:t xml:space="preserve">No </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I</w:t>
            </w:r>
            <w:r w:rsidRPr="00642CF4">
              <w:rPr>
                <w:sz w:val="20"/>
                <w:szCs w:val="20"/>
              </w:rPr>
              <w:t>nformar sobre la distribución porcentual en volumen presupuestario de los contratos licitados según su procedimiento de adjudicación</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D33D63">
            <w:pPr>
              <w:rPr>
                <w:sz w:val="20"/>
                <w:szCs w:val="20"/>
              </w:rPr>
            </w:pPr>
            <w:r>
              <w:rPr>
                <w:sz w:val="20"/>
                <w:szCs w:val="20"/>
              </w:rPr>
              <w:t>Si</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Publicar los convenios suscritos</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D33D63">
            <w:pPr>
              <w:rPr>
                <w:sz w:val="20"/>
                <w:szCs w:val="20"/>
              </w:rPr>
            </w:pPr>
            <w:r>
              <w:rPr>
                <w:sz w:val="20"/>
                <w:szCs w:val="20"/>
              </w:rPr>
              <w:t>Si</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Publicar las encomiendas de gestión</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3C3C06" w:rsidP="00D33D63">
            <w:pPr>
              <w:rPr>
                <w:sz w:val="20"/>
                <w:szCs w:val="20"/>
              </w:rPr>
            </w:pPr>
            <w:r>
              <w:rPr>
                <w:sz w:val="20"/>
                <w:szCs w:val="20"/>
              </w:rPr>
              <w:t xml:space="preserve">No </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0A6244">
            <w:pPr>
              <w:rPr>
                <w:sz w:val="20"/>
                <w:szCs w:val="20"/>
              </w:rPr>
            </w:pPr>
            <w:r>
              <w:rPr>
                <w:sz w:val="20"/>
                <w:szCs w:val="20"/>
              </w:rPr>
              <w:t>P</w:t>
            </w:r>
            <w:r w:rsidRPr="000A6244">
              <w:rPr>
                <w:sz w:val="20"/>
                <w:szCs w:val="20"/>
              </w:rPr>
              <w:t>ublicar la información sobre las subvenciones y ayudas públicas concedidas</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D33D63" w:rsidP="00281510">
            <w:pPr>
              <w:rPr>
                <w:sz w:val="20"/>
                <w:szCs w:val="20"/>
              </w:rPr>
            </w:pPr>
            <w:r>
              <w:rPr>
                <w:sz w:val="20"/>
                <w:szCs w:val="20"/>
              </w:rPr>
              <w:t>No, se publican las convocatorias pero no se proporciona información sobre las subvenciones concedidas con indicación de su objeto, beneficiarios e importe</w:t>
            </w:r>
            <w:r w:rsidR="00750213">
              <w:rPr>
                <w:sz w:val="20"/>
                <w:szCs w:val="20"/>
              </w:rPr>
              <w:t xml:space="preserve"> concedido</w:t>
            </w:r>
            <w:r>
              <w:rPr>
                <w:sz w:val="20"/>
                <w:szCs w:val="20"/>
              </w:rPr>
              <w:t>.</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642CF4">
            <w:pPr>
              <w:rPr>
                <w:sz w:val="20"/>
                <w:szCs w:val="20"/>
              </w:rPr>
            </w:pPr>
            <w:r>
              <w:rPr>
                <w:sz w:val="20"/>
                <w:szCs w:val="20"/>
              </w:rPr>
              <w:t>Publicar los presupuestos</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8A5657" w:rsidP="008A5657">
            <w:pPr>
              <w:rPr>
                <w:sz w:val="20"/>
                <w:szCs w:val="20"/>
              </w:rPr>
            </w:pPr>
            <w:r>
              <w:rPr>
                <w:sz w:val="20"/>
                <w:szCs w:val="20"/>
              </w:rPr>
              <w:t>Si, los últimos publicados corresponden a 2020</w:t>
            </w:r>
          </w:p>
        </w:tc>
      </w:tr>
      <w:tr w:rsidR="008A5657" w:rsidRPr="007942B7" w:rsidTr="00183301">
        <w:tc>
          <w:tcPr>
            <w:tcW w:w="2093" w:type="dxa"/>
            <w:vMerge/>
          </w:tcPr>
          <w:p w:rsidR="008A5657" w:rsidRPr="007942B7" w:rsidRDefault="008A5657" w:rsidP="00AC4A6F">
            <w:pPr>
              <w:rPr>
                <w:sz w:val="20"/>
                <w:szCs w:val="20"/>
              </w:rPr>
            </w:pPr>
          </w:p>
        </w:tc>
        <w:tc>
          <w:tcPr>
            <w:tcW w:w="4819" w:type="dxa"/>
          </w:tcPr>
          <w:p w:rsidR="008A5657" w:rsidRDefault="008A5657" w:rsidP="00890C86">
            <w:pPr>
              <w:rPr>
                <w:sz w:val="20"/>
                <w:szCs w:val="20"/>
              </w:rPr>
            </w:pPr>
            <w:r>
              <w:rPr>
                <w:sz w:val="20"/>
                <w:szCs w:val="20"/>
              </w:rPr>
              <w:t>Informar sobre el cumplimiento de los objetivos de estabilidad presupuestaria y financiera.</w:t>
            </w:r>
          </w:p>
        </w:tc>
        <w:tc>
          <w:tcPr>
            <w:tcW w:w="567" w:type="dxa"/>
            <w:vAlign w:val="center"/>
          </w:tcPr>
          <w:p w:rsidR="008A5657" w:rsidRDefault="008A5657" w:rsidP="00183301">
            <w:pPr>
              <w:jc w:val="center"/>
              <w:rPr>
                <w:sz w:val="20"/>
                <w:szCs w:val="20"/>
              </w:rPr>
            </w:pPr>
            <w:r>
              <w:rPr>
                <w:sz w:val="20"/>
                <w:szCs w:val="20"/>
              </w:rPr>
              <w:t>X</w:t>
            </w:r>
          </w:p>
        </w:tc>
        <w:tc>
          <w:tcPr>
            <w:tcW w:w="3203" w:type="dxa"/>
          </w:tcPr>
          <w:p w:rsidR="008A5657" w:rsidRDefault="008A5657">
            <w:pPr>
              <w:rPr>
                <w:sz w:val="20"/>
                <w:szCs w:val="20"/>
              </w:rPr>
            </w:pPr>
            <w:r>
              <w:rPr>
                <w:sz w:val="20"/>
                <w:szCs w:val="20"/>
              </w:rPr>
              <w:t>No</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890C86">
            <w:pPr>
              <w:rPr>
                <w:sz w:val="20"/>
                <w:szCs w:val="20"/>
              </w:rPr>
            </w:pPr>
            <w:r>
              <w:rPr>
                <w:sz w:val="20"/>
                <w:szCs w:val="20"/>
              </w:rPr>
              <w:t>C</w:t>
            </w:r>
            <w:r w:rsidRPr="00890C86">
              <w:rPr>
                <w:sz w:val="20"/>
                <w:szCs w:val="20"/>
              </w:rPr>
              <w:t>ompletar los informes de auditoría de cuentas y de fiscalización por parte de los órganos de control externo que sobre el Ayuntamiento se hayan emitido</w:t>
            </w:r>
          </w:p>
        </w:tc>
        <w:tc>
          <w:tcPr>
            <w:tcW w:w="567" w:type="dxa"/>
            <w:vAlign w:val="center"/>
          </w:tcPr>
          <w:p w:rsidR="003C3C06" w:rsidRPr="00183301" w:rsidRDefault="00C46598" w:rsidP="00183301">
            <w:pPr>
              <w:jc w:val="center"/>
              <w:rPr>
                <w:sz w:val="20"/>
                <w:szCs w:val="20"/>
              </w:rPr>
            </w:pPr>
            <w:r>
              <w:rPr>
                <w:sz w:val="20"/>
                <w:szCs w:val="20"/>
              </w:rPr>
              <w:t>X</w:t>
            </w:r>
          </w:p>
        </w:tc>
        <w:tc>
          <w:tcPr>
            <w:tcW w:w="3203" w:type="dxa"/>
          </w:tcPr>
          <w:p w:rsidR="003C3C06" w:rsidRPr="0028502C" w:rsidRDefault="003C3C06" w:rsidP="008A5657">
            <w:pPr>
              <w:rPr>
                <w:sz w:val="20"/>
                <w:szCs w:val="20"/>
              </w:rPr>
            </w:pPr>
            <w:r>
              <w:rPr>
                <w:sz w:val="20"/>
                <w:szCs w:val="20"/>
              </w:rPr>
              <w:t>No</w:t>
            </w:r>
            <w:r w:rsidR="008A5657">
              <w:rPr>
                <w:sz w:val="20"/>
                <w:szCs w:val="20"/>
              </w:rPr>
              <w:t xml:space="preserve">. Tampoco se ha localizado el enlace a la web de la Sindicatura de Cuentas de Asturias ni los informes aprobados en los años 2016,2017 y 2018 que anteriormente si estaban publicados. </w:t>
            </w:r>
            <w:r>
              <w:rPr>
                <w:sz w:val="20"/>
                <w:szCs w:val="20"/>
              </w:rPr>
              <w:t xml:space="preserve"> </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890C86">
            <w:pPr>
              <w:rPr>
                <w:sz w:val="20"/>
                <w:szCs w:val="20"/>
              </w:rPr>
            </w:pPr>
            <w:r>
              <w:rPr>
                <w:sz w:val="20"/>
                <w:szCs w:val="20"/>
              </w:rPr>
              <w:t>P</w:t>
            </w:r>
            <w:r w:rsidRPr="00890C86">
              <w:rPr>
                <w:sz w:val="20"/>
                <w:szCs w:val="20"/>
              </w:rPr>
              <w:t>ublicar las retribuciones percibidas anualmente por los altos cargos y máximos responsables del Ayuntamiento</w:t>
            </w:r>
          </w:p>
        </w:tc>
        <w:tc>
          <w:tcPr>
            <w:tcW w:w="567" w:type="dxa"/>
            <w:vAlign w:val="center"/>
          </w:tcPr>
          <w:p w:rsidR="003C3C06" w:rsidRPr="00183301" w:rsidRDefault="00C46598" w:rsidP="00183301">
            <w:pPr>
              <w:jc w:val="center"/>
              <w:rPr>
                <w:sz w:val="20"/>
                <w:szCs w:val="20"/>
              </w:rPr>
            </w:pPr>
            <w:r>
              <w:rPr>
                <w:sz w:val="20"/>
                <w:szCs w:val="20"/>
              </w:rPr>
              <w:t>X</w:t>
            </w:r>
          </w:p>
        </w:tc>
        <w:tc>
          <w:tcPr>
            <w:tcW w:w="3203" w:type="dxa"/>
          </w:tcPr>
          <w:p w:rsidR="003C3C06" w:rsidRPr="0028502C" w:rsidRDefault="00284728" w:rsidP="00284728">
            <w:pPr>
              <w:rPr>
                <w:sz w:val="20"/>
                <w:szCs w:val="20"/>
              </w:rPr>
            </w:pPr>
            <w:r>
              <w:rPr>
                <w:sz w:val="20"/>
                <w:szCs w:val="20"/>
              </w:rPr>
              <w:t xml:space="preserve">No. </w:t>
            </w:r>
            <w:r w:rsidR="003C3C06">
              <w:rPr>
                <w:sz w:val="20"/>
                <w:szCs w:val="20"/>
              </w:rPr>
              <w:t xml:space="preserve">El acceso denominado “personal eventual y retribuciones”, </w:t>
            </w:r>
            <w:r>
              <w:rPr>
                <w:sz w:val="20"/>
                <w:szCs w:val="20"/>
              </w:rPr>
              <w:t xml:space="preserve">no da paso a </w:t>
            </w:r>
            <w:proofErr w:type="spellStart"/>
            <w:r w:rsidR="003C3C06">
              <w:rPr>
                <w:sz w:val="20"/>
                <w:szCs w:val="20"/>
              </w:rPr>
              <w:t>a</w:t>
            </w:r>
            <w:proofErr w:type="spellEnd"/>
            <w:r w:rsidR="003C3C06">
              <w:rPr>
                <w:sz w:val="20"/>
                <w:szCs w:val="20"/>
              </w:rPr>
              <w:t xml:space="preserve"> información alguna</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890C86">
            <w:pPr>
              <w:rPr>
                <w:sz w:val="20"/>
                <w:szCs w:val="20"/>
              </w:rPr>
            </w:pPr>
            <w:r>
              <w:rPr>
                <w:sz w:val="20"/>
                <w:szCs w:val="20"/>
              </w:rPr>
              <w:t>P</w:t>
            </w:r>
            <w:r w:rsidRPr="00890C86">
              <w:rPr>
                <w:sz w:val="20"/>
                <w:szCs w:val="20"/>
              </w:rPr>
              <w:t>ublicar las resoluciones que autoricen el ejercicio de actividad privada con motivo del cese de los altos cargos</w:t>
            </w:r>
          </w:p>
        </w:tc>
        <w:tc>
          <w:tcPr>
            <w:tcW w:w="567" w:type="dxa"/>
            <w:vAlign w:val="center"/>
          </w:tcPr>
          <w:p w:rsidR="003C3C06" w:rsidRPr="00183301" w:rsidRDefault="00C46598" w:rsidP="00183301">
            <w:pPr>
              <w:jc w:val="center"/>
              <w:rPr>
                <w:sz w:val="20"/>
                <w:szCs w:val="20"/>
              </w:rPr>
            </w:pPr>
            <w:r>
              <w:rPr>
                <w:sz w:val="20"/>
                <w:szCs w:val="20"/>
              </w:rPr>
              <w:t>X</w:t>
            </w:r>
          </w:p>
        </w:tc>
        <w:tc>
          <w:tcPr>
            <w:tcW w:w="3203" w:type="dxa"/>
          </w:tcPr>
          <w:p w:rsidR="003C3C06" w:rsidRPr="0028502C" w:rsidRDefault="00284728">
            <w:pPr>
              <w:rPr>
                <w:sz w:val="20"/>
                <w:szCs w:val="20"/>
              </w:rPr>
            </w:pPr>
            <w:r>
              <w:rPr>
                <w:sz w:val="20"/>
                <w:szCs w:val="20"/>
              </w:rPr>
              <w:t>No</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890C86">
            <w:pPr>
              <w:rPr>
                <w:sz w:val="20"/>
                <w:szCs w:val="20"/>
              </w:rPr>
            </w:pPr>
            <w:r>
              <w:rPr>
                <w:sz w:val="20"/>
                <w:szCs w:val="20"/>
              </w:rPr>
              <w:t>P</w:t>
            </w:r>
            <w:r w:rsidRPr="00890C86">
              <w:rPr>
                <w:sz w:val="20"/>
                <w:szCs w:val="20"/>
              </w:rPr>
              <w:t>ublicar las resoluciones de autorización o reconocimiento de compatibilidad que afecten a los empleados públicos</w:t>
            </w:r>
          </w:p>
        </w:tc>
        <w:tc>
          <w:tcPr>
            <w:tcW w:w="567" w:type="dxa"/>
            <w:vAlign w:val="center"/>
          </w:tcPr>
          <w:p w:rsidR="003C3C06" w:rsidRPr="00183301" w:rsidRDefault="00C46598" w:rsidP="00183301">
            <w:pPr>
              <w:jc w:val="center"/>
              <w:rPr>
                <w:sz w:val="20"/>
                <w:szCs w:val="20"/>
              </w:rPr>
            </w:pPr>
            <w:r>
              <w:rPr>
                <w:sz w:val="20"/>
                <w:szCs w:val="20"/>
              </w:rPr>
              <w:t>X</w:t>
            </w:r>
          </w:p>
        </w:tc>
        <w:tc>
          <w:tcPr>
            <w:tcW w:w="3203" w:type="dxa"/>
          </w:tcPr>
          <w:p w:rsidR="003C3C06" w:rsidRPr="0028502C" w:rsidRDefault="00284728">
            <w:pPr>
              <w:rPr>
                <w:sz w:val="20"/>
                <w:szCs w:val="20"/>
              </w:rPr>
            </w:pPr>
            <w:r>
              <w:rPr>
                <w:sz w:val="20"/>
                <w:szCs w:val="20"/>
              </w:rPr>
              <w:t>No</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890C86">
            <w:pPr>
              <w:rPr>
                <w:sz w:val="20"/>
                <w:szCs w:val="20"/>
              </w:rPr>
            </w:pPr>
            <w:r>
              <w:rPr>
                <w:sz w:val="20"/>
                <w:szCs w:val="20"/>
              </w:rPr>
              <w:t>P</w:t>
            </w:r>
            <w:r w:rsidRPr="00890C86">
              <w:rPr>
                <w:sz w:val="20"/>
                <w:szCs w:val="20"/>
              </w:rPr>
              <w:t>ublicar la información estadística que permita valorar el grado de cumplimiento y calidad de los servicios públicos que sean de la competencia de la Corporación local</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284728">
            <w:pPr>
              <w:rPr>
                <w:sz w:val="20"/>
                <w:szCs w:val="20"/>
              </w:rPr>
            </w:pPr>
            <w:r>
              <w:rPr>
                <w:sz w:val="20"/>
                <w:szCs w:val="20"/>
              </w:rPr>
              <w:t>Si</w:t>
            </w:r>
          </w:p>
        </w:tc>
      </w:tr>
      <w:tr w:rsidR="003C3C06" w:rsidRPr="007942B7" w:rsidTr="00183301">
        <w:tc>
          <w:tcPr>
            <w:tcW w:w="2093" w:type="dxa"/>
            <w:vMerge/>
          </w:tcPr>
          <w:p w:rsidR="003C3C06" w:rsidRPr="007942B7" w:rsidRDefault="003C3C06" w:rsidP="00AC4A6F">
            <w:pPr>
              <w:rPr>
                <w:sz w:val="20"/>
                <w:szCs w:val="20"/>
              </w:rPr>
            </w:pPr>
          </w:p>
        </w:tc>
        <w:tc>
          <w:tcPr>
            <w:tcW w:w="4819" w:type="dxa"/>
          </w:tcPr>
          <w:p w:rsidR="003C3C06" w:rsidRPr="003145AC" w:rsidRDefault="003C3C06" w:rsidP="00890C86">
            <w:pPr>
              <w:rPr>
                <w:sz w:val="20"/>
                <w:szCs w:val="20"/>
              </w:rPr>
            </w:pPr>
            <w:r>
              <w:rPr>
                <w:sz w:val="20"/>
                <w:szCs w:val="20"/>
              </w:rPr>
              <w:t>Publicar</w:t>
            </w:r>
            <w:r w:rsidRPr="00890C86">
              <w:rPr>
                <w:sz w:val="20"/>
                <w:szCs w:val="20"/>
              </w:rPr>
              <w:t xml:space="preserve"> la relación de los bienes inmuebles que sean propiedad del Ayuntamiento o sobre los que ostente un derecho real</w:t>
            </w:r>
          </w:p>
        </w:tc>
        <w:tc>
          <w:tcPr>
            <w:tcW w:w="567" w:type="dxa"/>
            <w:vAlign w:val="center"/>
          </w:tcPr>
          <w:p w:rsidR="003C3C06" w:rsidRPr="00183301" w:rsidRDefault="003C3C06" w:rsidP="00183301">
            <w:pPr>
              <w:jc w:val="center"/>
              <w:rPr>
                <w:sz w:val="20"/>
                <w:szCs w:val="20"/>
              </w:rPr>
            </w:pPr>
            <w:r>
              <w:rPr>
                <w:sz w:val="20"/>
                <w:szCs w:val="20"/>
              </w:rPr>
              <w:t>X</w:t>
            </w:r>
          </w:p>
        </w:tc>
        <w:tc>
          <w:tcPr>
            <w:tcW w:w="3203" w:type="dxa"/>
          </w:tcPr>
          <w:p w:rsidR="003C3C06" w:rsidRPr="0028502C" w:rsidRDefault="00284728">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0B22C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890C86" w:rsidP="00183301">
            <w:pPr>
              <w:jc w:val="center"/>
              <w:rPr>
                <w:sz w:val="20"/>
                <w:szCs w:val="20"/>
              </w:rPr>
            </w:pPr>
            <w:r>
              <w:rPr>
                <w:sz w:val="20"/>
                <w:szCs w:val="20"/>
              </w:rPr>
              <w:t>X</w:t>
            </w: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890C86" w:rsidP="00183301">
            <w:pPr>
              <w:jc w:val="center"/>
              <w:rPr>
                <w:sz w:val="20"/>
                <w:szCs w:val="20"/>
              </w:rPr>
            </w:pPr>
            <w:r>
              <w:rPr>
                <w:sz w:val="20"/>
                <w:szCs w:val="20"/>
              </w:rPr>
              <w:t>X</w:t>
            </w: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28502C" w:rsidP="00BA14E6">
            <w:pPr>
              <w:rPr>
                <w:sz w:val="20"/>
                <w:szCs w:val="20"/>
              </w:rPr>
            </w:pPr>
            <w:r>
              <w:rPr>
                <w:sz w:val="20"/>
                <w:szCs w:val="20"/>
              </w:rPr>
              <w:t>Revisada de oficio. El formato de la web permite tratamiento</w:t>
            </w:r>
            <w:r w:rsidR="00410FA7">
              <w:rPr>
                <w:sz w:val="20"/>
                <w:szCs w:val="20"/>
              </w:rPr>
              <w:t>. Los documentos están publicados en formatos reutilizables</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0246B3" w:rsidP="00183301">
            <w:pPr>
              <w:rPr>
                <w:sz w:val="20"/>
                <w:szCs w:val="20"/>
              </w:rPr>
            </w:pPr>
            <w:r>
              <w:rPr>
                <w:sz w:val="20"/>
                <w:szCs w:val="20"/>
              </w:rPr>
              <w:t>No toda la información se encuentra datada y no siempre se indica la fecha de actualización</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C46598" w:rsidP="00807495">
            <w:pPr>
              <w:jc w:val="center"/>
              <w:rPr>
                <w:b/>
                <w:sz w:val="20"/>
                <w:szCs w:val="20"/>
              </w:rPr>
            </w:pPr>
            <w:r>
              <w:rPr>
                <w:b/>
                <w:sz w:val="20"/>
                <w:szCs w:val="20"/>
              </w:rPr>
              <w:t>30</w:t>
            </w:r>
          </w:p>
        </w:tc>
        <w:tc>
          <w:tcPr>
            <w:tcW w:w="3203" w:type="dxa"/>
          </w:tcPr>
          <w:p w:rsidR="001C7D84" w:rsidRPr="001C7D84" w:rsidRDefault="001C7D84" w:rsidP="00AC4A6F">
            <w:pPr>
              <w:rPr>
                <w:b/>
                <w:sz w:val="20"/>
                <w:szCs w:val="20"/>
              </w:rPr>
            </w:pPr>
          </w:p>
        </w:tc>
      </w:tr>
    </w:tbl>
    <w:p w:rsidR="003A1694" w:rsidRDefault="003A1694" w:rsidP="00AC4A6F"/>
    <w:p w:rsidR="0080605C" w:rsidRDefault="00434403" w:rsidP="0080605C">
      <w:pPr>
        <w:jc w:val="both"/>
      </w:pPr>
      <w:r>
        <w:t xml:space="preserve">El Ayuntamiento de Avilés </w:t>
      </w:r>
      <w:r w:rsidR="0080605C" w:rsidRPr="00110AE5">
        <w:t xml:space="preserve">ha aplicado </w:t>
      </w:r>
      <w:r w:rsidR="00110AE5" w:rsidRPr="00110AE5">
        <w:t>9</w:t>
      </w:r>
      <w:r w:rsidR="00887F64" w:rsidRPr="00110AE5">
        <w:t xml:space="preserve"> de las</w:t>
      </w:r>
      <w:r w:rsidR="0080605C" w:rsidRPr="00110AE5">
        <w:t xml:space="preserve"> recomendaciones</w:t>
      </w:r>
      <w:r w:rsidR="0080605C">
        <w:t xml:space="preserve"> efectuadas por este CTBG como consecuencia de la evaluación realizada en 2020. </w:t>
      </w:r>
    </w:p>
    <w:p w:rsidR="00FA5AFD" w:rsidRDefault="00FA5AFD" w:rsidP="00AC4A6F"/>
    <w:p w:rsidR="00FA6B0E" w:rsidRDefault="00110AE5" w:rsidP="00110AE5">
      <w:r>
        <w:t xml:space="preserve">Para efectuar la presente revisión del cumplimiento de las obligaciones de publicidad activa, de los dos </w:t>
      </w:r>
      <w:r w:rsidR="00434403">
        <w:t xml:space="preserve">accesos que dan </w:t>
      </w:r>
      <w:proofErr w:type="gramStart"/>
      <w:r w:rsidR="00434403">
        <w:t>paso</w:t>
      </w:r>
      <w:proofErr w:type="gramEnd"/>
      <w:r w:rsidR="00434403">
        <w:t xml:space="preserve"> a la información de transparencia: </w:t>
      </w:r>
      <w:hyperlink r:id="rId13" w:history="1">
        <w:r w:rsidR="00434403" w:rsidRPr="00D200A8">
          <w:rPr>
            <w:rStyle w:val="Hipervnculo"/>
          </w:rPr>
          <w:t>https://ayto-aviles.transparencialocal.gob.es/</w:t>
        </w:r>
      </w:hyperlink>
      <w:r w:rsidR="00434403">
        <w:t xml:space="preserve"> y </w:t>
      </w:r>
      <w:hyperlink r:id="rId14" w:history="1">
        <w:r w:rsidR="00EE3D1F" w:rsidRPr="00417437">
          <w:rPr>
            <w:rStyle w:val="Hipervnculo"/>
          </w:rPr>
          <w:t>https://aviles.es/transparencia</w:t>
        </w:r>
      </w:hyperlink>
      <w:r>
        <w:t xml:space="preserve">, se ha optado por el segundo dado </w:t>
      </w:r>
      <w:r w:rsidR="00BF4BDD">
        <w:t xml:space="preserve"> que contiene mayor volumen de información.</w:t>
      </w:r>
    </w:p>
    <w:p w:rsidR="00110AE5" w:rsidRDefault="00110AE5" w:rsidP="000B22CE">
      <w:pPr>
        <w:pStyle w:val="Cuerpodelboletn"/>
      </w:pPr>
    </w:p>
    <w:p w:rsidR="00110AE5" w:rsidRDefault="00110AE5" w:rsidP="000B22CE">
      <w:pPr>
        <w:pStyle w:val="Cuerpodelboletn"/>
      </w:pPr>
      <w:r>
        <w:t xml:space="preserve">El hecho de que </w:t>
      </w:r>
      <w:r w:rsidR="00320430" w:rsidRPr="00320430">
        <w:t>en la práctica</w:t>
      </w:r>
      <w:r w:rsidR="00320430">
        <w:t>,</w:t>
      </w:r>
      <w:bookmarkStart w:id="0" w:name="_GoBack"/>
      <w:bookmarkEnd w:id="0"/>
      <w:r w:rsidR="00320430" w:rsidRPr="00320430">
        <w:t xml:space="preserve"> </w:t>
      </w:r>
      <w:r>
        <w:t>existan dos Portales de Transparencia y que la información que contienen no sea la misma puede inducir a confusión a los ciudadanos. Por esta razón, desde este Consejo se recomienda que se unifiquen ambos Portales.</w:t>
      </w:r>
    </w:p>
    <w:p w:rsidR="00110AE5" w:rsidRDefault="00110AE5" w:rsidP="000B22CE">
      <w:pPr>
        <w:pStyle w:val="Cuerpodelboletn"/>
      </w:pPr>
    </w:p>
    <w:p w:rsidR="00110AE5" w:rsidRDefault="00110AE5" w:rsidP="000B22CE">
      <w:pPr>
        <w:pStyle w:val="Cuerpodelboletn"/>
      </w:pPr>
    </w:p>
    <w:p w:rsidR="000C270E" w:rsidRDefault="000C270E" w:rsidP="00B31B25">
      <w:pPr>
        <w:jc w:val="both"/>
      </w:pPr>
    </w:p>
    <w:p w:rsidR="00FA5AFD" w:rsidRDefault="002D27E4" w:rsidP="00AC4A6F">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17D93791" wp14:editId="03356A34">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3380D08" wp14:editId="0858B1F8">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D33AC" w:rsidRPr="00F31BC3" w:rsidRDefault="005D33AC" w:rsidP="002D27E4">
                            <w:r w:rsidRPr="00965C69">
                              <w:rPr>
                                <w:noProof/>
                                <w:lang w:eastAsia="es-ES"/>
                              </w:rPr>
                              <w:drawing>
                                <wp:inline distT="0" distB="0" distL="0" distR="0" wp14:anchorId="501C17CC" wp14:editId="60C9DE8D">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5D33AC" w:rsidRPr="00F31BC3" w:rsidRDefault="005D33AC" w:rsidP="002D27E4">
                      <w:r w:rsidRPr="00965C69">
                        <w:rPr>
                          <w:noProof/>
                          <w:lang w:eastAsia="es-ES"/>
                        </w:rPr>
                        <w:drawing>
                          <wp:inline distT="0" distB="0" distL="0" distR="0" wp14:anchorId="501C17CC" wp14:editId="60C9DE8D">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88091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110AE5" w:rsidRPr="00225B8D" w:rsidTr="00110AE5">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110AE5" w:rsidRPr="00225B8D" w:rsidRDefault="00110AE5" w:rsidP="00110AE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A2365C" w:rsidRPr="00225B8D" w:rsidTr="00A2365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2365C" w:rsidRPr="00225B8D" w:rsidRDefault="00A2365C" w:rsidP="00110AE5">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60,0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70,0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70,0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70,0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70,0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70,0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55,0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66,4</w:t>
            </w:r>
          </w:p>
        </w:tc>
      </w:tr>
      <w:tr w:rsidR="00A2365C" w:rsidRPr="00225B8D" w:rsidTr="00A2365C">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2365C" w:rsidRPr="00225B8D" w:rsidRDefault="00A2365C" w:rsidP="00110AE5">
            <w:pPr>
              <w:spacing w:before="120" w:after="120" w:line="312" w:lineRule="auto"/>
              <w:jc w:val="both"/>
              <w:rPr>
                <w:rFonts w:eastAsia="Calibri" w:cs="Calibri"/>
                <w:sz w:val="16"/>
                <w:szCs w:val="16"/>
              </w:rPr>
            </w:pPr>
            <w:r w:rsidRPr="002F0303">
              <w:rPr>
                <w:rFonts w:eastAsia="Calibri" w:cs="Calibri"/>
                <w:sz w:val="16"/>
                <w:szCs w:val="16"/>
              </w:rPr>
              <w:t>De relevancia jurídica</w:t>
            </w:r>
          </w:p>
        </w:tc>
        <w:tc>
          <w:tcPr>
            <w:tcW w:w="0" w:type="auto"/>
            <w:tcBorders>
              <w:left w:val="single" w:sz="18" w:space="0" w:color="FFFFFF" w:themeColor="background1"/>
            </w:tcBorders>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0,0</w:t>
            </w:r>
          </w:p>
        </w:tc>
      </w:tr>
      <w:tr w:rsidR="00A2365C" w:rsidRPr="00225B8D" w:rsidTr="00A2365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365C" w:rsidRPr="00225B8D" w:rsidRDefault="00A2365C" w:rsidP="00110AE5">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50,0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45,5</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50,0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43,2</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50,0</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45,5</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45,5</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A2365C">
              <w:rPr>
                <w:sz w:val="18"/>
                <w:szCs w:val="18"/>
              </w:rPr>
              <w:t>47,1</w:t>
            </w:r>
          </w:p>
        </w:tc>
      </w:tr>
      <w:tr w:rsidR="00A2365C" w:rsidRPr="00225B8D" w:rsidTr="00A2365C">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2365C" w:rsidRPr="00225B8D" w:rsidRDefault="00A2365C" w:rsidP="00110AE5">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100,0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100,0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100,0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100,0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100,0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100,0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100,0</w:t>
            </w:r>
          </w:p>
        </w:tc>
        <w:tc>
          <w:tcPr>
            <w:tcW w:w="0" w:type="auto"/>
            <w:noWrap/>
            <w:vAlign w:val="center"/>
          </w:tcPr>
          <w:p w:rsidR="00A2365C" w:rsidRPr="00A2365C" w:rsidRDefault="00A2365C" w:rsidP="00A236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A2365C">
              <w:rPr>
                <w:sz w:val="18"/>
                <w:szCs w:val="18"/>
              </w:rPr>
              <w:t>100,0</w:t>
            </w:r>
          </w:p>
        </w:tc>
      </w:tr>
      <w:tr w:rsidR="00A2365C" w:rsidRPr="00225B8D" w:rsidTr="00A2365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365C" w:rsidRPr="00225B8D" w:rsidRDefault="00A2365C" w:rsidP="00110AE5">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2365C">
              <w:rPr>
                <w:b/>
                <w:i/>
                <w:sz w:val="18"/>
                <w:szCs w:val="18"/>
              </w:rPr>
              <w:t>48,6</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2365C">
              <w:rPr>
                <w:b/>
                <w:i/>
                <w:sz w:val="18"/>
                <w:szCs w:val="18"/>
              </w:rPr>
              <w:t>48,6</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2365C">
              <w:rPr>
                <w:b/>
                <w:i/>
                <w:sz w:val="18"/>
                <w:szCs w:val="18"/>
              </w:rPr>
              <w:t>51,4</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2365C">
              <w:rPr>
                <w:b/>
                <w:i/>
                <w:sz w:val="18"/>
                <w:szCs w:val="18"/>
              </w:rPr>
              <w:t>47,3</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2365C">
              <w:rPr>
                <w:b/>
                <w:i/>
                <w:sz w:val="18"/>
                <w:szCs w:val="18"/>
              </w:rPr>
              <w:t>51,4</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2365C">
              <w:rPr>
                <w:b/>
                <w:i/>
                <w:sz w:val="18"/>
                <w:szCs w:val="18"/>
              </w:rPr>
              <w:t>48,6</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2365C">
              <w:rPr>
                <w:b/>
                <w:i/>
                <w:sz w:val="18"/>
                <w:szCs w:val="18"/>
              </w:rPr>
              <w:t>44,6</w:t>
            </w:r>
          </w:p>
        </w:tc>
        <w:tc>
          <w:tcPr>
            <w:tcW w:w="0" w:type="auto"/>
            <w:noWrap/>
            <w:vAlign w:val="center"/>
          </w:tcPr>
          <w:p w:rsidR="00A2365C" w:rsidRPr="00A2365C" w:rsidRDefault="00A2365C" w:rsidP="00A2365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2365C">
              <w:rPr>
                <w:b/>
                <w:i/>
                <w:sz w:val="18"/>
                <w:szCs w:val="18"/>
              </w:rPr>
              <w:t>49,0</w:t>
            </w:r>
          </w:p>
        </w:tc>
      </w:tr>
    </w:tbl>
    <w:p w:rsidR="00FA5AFD" w:rsidRDefault="00FA5AFD" w:rsidP="00F05E2C">
      <w:pPr>
        <w:pStyle w:val="Cuerpodelboletn"/>
        <w:rPr>
          <w:lang w:bidi="es-ES"/>
        </w:rPr>
      </w:pPr>
    </w:p>
    <w:p w:rsidR="005D33AC" w:rsidRDefault="005D33AC" w:rsidP="005D33AC">
      <w:pPr>
        <w:pStyle w:val="Cuerpodelboletn"/>
        <w:rPr>
          <w:lang w:bidi="es-ES"/>
        </w:rPr>
      </w:pPr>
      <w:r>
        <w:rPr>
          <w:lang w:bidi="es-ES"/>
        </w:rPr>
        <w:t>El Índice de Cumplimiento de la Información Obligatoria (ICIO) se sitúa en el 49%. La falta de publicación de contenidos obligatorios – no se publica el 51,4% de ellos – y la falta de referencias a la última fecha en que se revisó o actualizó la información o el desfase temporal de la fecha de actualización en muchos de los casos en los que se proporciona</w:t>
      </w:r>
      <w:r>
        <w:rPr>
          <w:rFonts w:eastAsia="Times New Roman" w:cs="Times New Roman"/>
          <w:szCs w:val="22"/>
          <w:lang w:eastAsia="es-ES"/>
        </w:rPr>
        <w:t xml:space="preserve">, </w:t>
      </w:r>
      <w:r w:rsidRPr="00225B8D">
        <w:rPr>
          <w:rFonts w:eastAsia="Times New Roman" w:cs="Times New Roman"/>
          <w:szCs w:val="22"/>
          <w:lang w:eastAsia="es-ES"/>
        </w:rPr>
        <w:t>son los factores que explican el nivel de cumplimiento alcanzado</w:t>
      </w:r>
      <w:r>
        <w:rPr>
          <w:lang w:bidi="es-ES"/>
        </w:rPr>
        <w:t>.</w:t>
      </w:r>
    </w:p>
    <w:p w:rsidR="005D33AC" w:rsidRDefault="005D33AC" w:rsidP="005D33AC">
      <w:pPr>
        <w:pStyle w:val="Cuerpodelboletn"/>
        <w:rPr>
          <w:lang w:bidi="es-ES"/>
        </w:rPr>
      </w:pPr>
      <w:r>
        <w:rPr>
          <w:lang w:bidi="es-ES"/>
        </w:rPr>
        <w:t xml:space="preserve">Respecto de 2020, el ICIO se ha incrementado en 12,5 puntos porcentuales. Es preciso indicar que se ha revisado a la baja el cumplimiento de las obligaciones modificaciones de contratos  e informes de auditoría y fiscalización, dado que no se ha localizado ninguna información relativa a estas obligaciones. </w:t>
      </w:r>
    </w:p>
    <w:p w:rsidR="00A54B8C" w:rsidRDefault="0080605C" w:rsidP="00F05E2C">
      <w:pPr>
        <w:pStyle w:val="Cuerpodelboletn"/>
      </w:pPr>
      <w:r w:rsidRPr="0080605C">
        <w:t xml:space="preserve"> </w:t>
      </w: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110AE5" w:rsidRDefault="005D33AC" w:rsidP="00110AE5">
      <w:pPr>
        <w:pStyle w:val="Cuerpodelboletn"/>
      </w:pPr>
      <w:r w:rsidRPr="005D33AC">
        <w:t xml:space="preserve">Aunque la evolución del cumplimiento de las obligaciones de publicidad activa por parte del Ayuntamiento de </w:t>
      </w:r>
      <w:r>
        <w:t>Avilés</w:t>
      </w:r>
      <w:r w:rsidRPr="005D33AC">
        <w:t xml:space="preserve"> ha sido positiva, sigue existiendo un amplísimo margen de mejora.  Se ha aplicado un </w:t>
      </w:r>
      <w:r>
        <w:t>30</w:t>
      </w:r>
      <w:r w:rsidRPr="005D33AC">
        <w:t>% de las recomendaciones efectuadas en 2020 y como consecuencia de esto, persisten la mayoría de los déficits evidenciados en aquel momento:</w:t>
      </w:r>
    </w:p>
    <w:p w:rsidR="00110AE5" w:rsidRDefault="00110AE5" w:rsidP="005D33AC">
      <w:pPr>
        <w:pStyle w:val="Cuerpodelboletn"/>
        <w:numPr>
          <w:ilvl w:val="0"/>
          <w:numId w:val="19"/>
        </w:numPr>
      </w:pPr>
      <w:r>
        <w:t>E</w:t>
      </w:r>
      <w:r w:rsidRPr="00EE3D1F">
        <w:t xml:space="preserve">n el apartado “información de relevancia jurídica/normativa municipal” se contienen accesos que ofrecen información sobre “Ordenanzas fiscales”, “Ordenanzas </w:t>
      </w:r>
      <w:r>
        <w:t>municipale</w:t>
      </w:r>
      <w:r w:rsidRPr="00EE3D1F">
        <w:t xml:space="preserve">s y Reglamentos”, “Ordenanzas urbanísticas” </w:t>
      </w:r>
      <w:r>
        <w:t xml:space="preserve">e “Instrucciones y </w:t>
      </w:r>
      <w:r w:rsidRPr="00EE3D1F">
        <w:t xml:space="preserve">Reglamentos”. Sin embargo, no se ha localizado información sobre el conjunto de la normativa general de aplicación a las Entidades Locales, como, por ejemplo, la Ley 7/1985, de 2 de abril, Reguladora de las Bases del Régimen Local, o el Real Decreto Legislativo 2/2004, de 5 de marzo, por el que se </w:t>
      </w:r>
      <w:r w:rsidRPr="00EE3D1F">
        <w:lastRenderedPageBreak/>
        <w:t>aprueba el texto refundido de la Ley Reguladora de Haciendas Locales.</w:t>
      </w:r>
      <w:r>
        <w:t xml:space="preserve"> En este sentido, se ha de recordar que en el informe de evaluación de 2020 se sugirió informar</w:t>
      </w:r>
      <w:r w:rsidRPr="00982FE8">
        <w:t xml:space="preserve"> sobre la normativa general de aplicación a las Entidades Locales con un enlace al “C</w:t>
      </w:r>
      <w:r>
        <w:t>ódigo de Régimen Local” del BOE</w:t>
      </w:r>
      <w:r w:rsidRPr="00982FE8">
        <w:t>.</w:t>
      </w:r>
    </w:p>
    <w:p w:rsidR="00110AE5" w:rsidRDefault="00110AE5" w:rsidP="005D33AC">
      <w:pPr>
        <w:pStyle w:val="Cuerpodelboletn"/>
        <w:numPr>
          <w:ilvl w:val="0"/>
          <w:numId w:val="19"/>
        </w:numPr>
      </w:pPr>
      <w:r>
        <w:t>En el apartado “organización municipal/concejalías y competencias” se recoge el Decreto que establece la estructura de las diferentes áreas de la corporación municipal. Ahora bien, no se establece una descripción de cada una de las mismas, más allá del texto normativo. Por otra parte, dichas áreas no coinciden en sus denominaciones con las que se detallan en el apartado “estructura organizativa/junta de gobierno local”.</w:t>
      </w:r>
    </w:p>
    <w:p w:rsidR="00110AE5" w:rsidRDefault="00110AE5" w:rsidP="005D33AC">
      <w:pPr>
        <w:pStyle w:val="Cuerpodelboletn"/>
        <w:numPr>
          <w:ilvl w:val="0"/>
          <w:numId w:val="19"/>
        </w:numPr>
      </w:pPr>
      <w:r>
        <w:t>Por otra parte, se contiene una relación de los miembros de la Junta de Gobierno Local, pero no se ha localizado información referente a su trayectoria profesional.</w:t>
      </w:r>
    </w:p>
    <w:p w:rsidR="00110AE5" w:rsidRDefault="00110AE5" w:rsidP="005D33AC">
      <w:pPr>
        <w:pStyle w:val="Cuerpodelboletn"/>
        <w:numPr>
          <w:ilvl w:val="0"/>
          <w:numId w:val="19"/>
        </w:numPr>
      </w:pPr>
      <w:r>
        <w:t>Por último dentro del apartado de organización municipal, el acceso “personal eventual y retribuciones” no ofrece información alguna.</w:t>
      </w:r>
    </w:p>
    <w:p w:rsidR="00110AE5" w:rsidRDefault="00110AE5" w:rsidP="005D33AC">
      <w:pPr>
        <w:pStyle w:val="Cuerpodelboletn"/>
        <w:numPr>
          <w:ilvl w:val="0"/>
          <w:numId w:val="19"/>
        </w:numPr>
      </w:pPr>
      <w:r>
        <w:t>No se ha localizado el organigrama del Ayuntamiento.</w:t>
      </w:r>
    </w:p>
    <w:p w:rsidR="00110AE5" w:rsidRDefault="00110AE5" w:rsidP="005D33AC">
      <w:pPr>
        <w:pStyle w:val="Cuerpodelboletn"/>
        <w:numPr>
          <w:ilvl w:val="0"/>
          <w:numId w:val="19"/>
        </w:numPr>
      </w:pPr>
      <w:r>
        <w:t xml:space="preserve">En cuanto a la información sobre planificación, el apartado “información de relevancia jurídica/información organizativa”, se incluye un acceso denominado “planes y programas”. Ahora bien, los planes y programas recogidos en el mismo son el Plan Estratégico de Subvenciones de 2019 y los Planes normativos. Los planes municipales se localizan fuera del portal de transparencia, en el acceso Menú/tu ayuntamiento, en la página </w:t>
      </w:r>
      <w:hyperlink r:id="rId16" w:history="1">
        <w:r w:rsidRPr="00417437">
          <w:rPr>
            <w:rStyle w:val="Hipervnculo"/>
          </w:rPr>
          <w:t>https://aviles.es/planes-municipales1</w:t>
        </w:r>
      </w:hyperlink>
      <w:r>
        <w:t xml:space="preserve">. </w:t>
      </w:r>
    </w:p>
    <w:p w:rsidR="00110AE5" w:rsidRDefault="00110AE5" w:rsidP="005D33AC">
      <w:pPr>
        <w:pStyle w:val="Cuerpodelboletn"/>
        <w:numPr>
          <w:ilvl w:val="0"/>
          <w:numId w:val="19"/>
        </w:numPr>
      </w:pPr>
      <w:r>
        <w:t xml:space="preserve">No se ha localizado información sobre </w:t>
      </w:r>
      <w:r w:rsidRPr="00F5342F">
        <w:t>la evaluación del grado de cumplimiento y resultados, de los planes y programas anuales y plurianuales de la corporación local</w:t>
      </w:r>
      <w:r>
        <w:t>.</w:t>
      </w:r>
    </w:p>
    <w:p w:rsidR="00110AE5" w:rsidRDefault="00110AE5" w:rsidP="005D33AC">
      <w:pPr>
        <w:pStyle w:val="Cuerpodelboletn"/>
        <w:numPr>
          <w:ilvl w:val="0"/>
          <w:numId w:val="19"/>
        </w:numPr>
      </w:pPr>
      <w:r>
        <w:t>El Registro de actividades de Tratamiento se encuentra publicado dentro de la sección “info</w:t>
      </w:r>
      <w:r w:rsidR="005D33AC">
        <w:t>rmación de relevancia jurídica”, debería estar publicado en el bloque de información Institucional, Organizativa y de Planificación.</w:t>
      </w:r>
    </w:p>
    <w:p w:rsidR="00110AE5" w:rsidRDefault="00110AE5" w:rsidP="005D33AC">
      <w:pPr>
        <w:pStyle w:val="Cuerpodelboletn"/>
        <w:numPr>
          <w:ilvl w:val="0"/>
          <w:numId w:val="19"/>
        </w:numPr>
      </w:pPr>
      <w:r>
        <w:t>En cuanto a la información de relevancia jurídica, e</w:t>
      </w:r>
      <w:r w:rsidRPr="00982FE8">
        <w:t>n el apartado “normativa municipal” se contienen accesos que ofrecen información sobre “Ordenanzas fiscales”, “Ordenanzas municipales y Reglamentos”, “Ordenanzas urbanísticas” e “Instrucciones y Reglamentos”</w:t>
      </w:r>
      <w:r>
        <w:t xml:space="preserve">, tal y como ya se ha señalado. Cualquiera de ellos conduce al apartado “normativa” de la sede electrónica. </w:t>
      </w:r>
    </w:p>
    <w:p w:rsidR="00110AE5" w:rsidRDefault="00110AE5" w:rsidP="005D33AC">
      <w:pPr>
        <w:ind w:left="709"/>
        <w:jc w:val="both"/>
      </w:pPr>
      <w:r>
        <w:t>Para la consulta pública previa, existe un acceso al efecto en el apartado “normativa municipal”. Dicho acceso conduce a la sede electrónica, donde es posible acceder a un listado de los proyectos normativos que el Ayuntamiento ha sometido a consulta pública previa.</w:t>
      </w:r>
    </w:p>
    <w:p w:rsidR="00110AE5" w:rsidRDefault="00110AE5" w:rsidP="00110AE5">
      <w:pPr>
        <w:jc w:val="both"/>
      </w:pPr>
    </w:p>
    <w:p w:rsidR="00110AE5" w:rsidRDefault="00110AE5" w:rsidP="005D33AC">
      <w:pPr>
        <w:ind w:left="709"/>
        <w:jc w:val="both"/>
      </w:pPr>
      <w:r>
        <w:t xml:space="preserve">En estas informaciones normativas </w:t>
      </w:r>
      <w:r w:rsidRPr="004A13C8">
        <w:t>no consta fecha alguna que permite conocer la última act</w:t>
      </w:r>
      <w:r>
        <w:t xml:space="preserve">ualización de esta información y no ha </w:t>
      </w:r>
      <w:r w:rsidRPr="004A13C8">
        <w:t>sido posible deducir su criterio de ordenación.</w:t>
      </w:r>
    </w:p>
    <w:p w:rsidR="00110AE5" w:rsidRDefault="00110AE5" w:rsidP="00110AE5">
      <w:pPr>
        <w:jc w:val="both"/>
      </w:pPr>
    </w:p>
    <w:p w:rsidR="00110AE5" w:rsidRDefault="00110AE5" w:rsidP="005D33AC">
      <w:pPr>
        <w:ind w:left="709"/>
        <w:jc w:val="both"/>
      </w:pPr>
      <w:r>
        <w:t xml:space="preserve">No se han localizado </w:t>
      </w:r>
      <w:r w:rsidRPr="00FF4A5A">
        <w:t>directrices, instrucciones o respuestas a consultas planteadas por los particulares u otros órganos</w:t>
      </w:r>
      <w:r>
        <w:t>.</w:t>
      </w:r>
    </w:p>
    <w:p w:rsidR="00110AE5" w:rsidRDefault="00110AE5" w:rsidP="00110AE5">
      <w:pPr>
        <w:jc w:val="both"/>
      </w:pPr>
    </w:p>
    <w:p w:rsidR="00110AE5" w:rsidRDefault="00110AE5" w:rsidP="005D33AC">
      <w:pPr>
        <w:pStyle w:val="Prrafodelista"/>
        <w:numPr>
          <w:ilvl w:val="0"/>
          <w:numId w:val="20"/>
        </w:numPr>
        <w:jc w:val="both"/>
      </w:pPr>
      <w:r>
        <w:t xml:space="preserve">En el bloque de información económica, presupuestaria y estadística cabe señalar, en primer lugar, que no se ha localizado información sobre las </w:t>
      </w:r>
      <w:r w:rsidRPr="000C270E">
        <w:t>modificaciones de los contratos</w:t>
      </w:r>
      <w:r>
        <w:t xml:space="preserve">. </w:t>
      </w:r>
    </w:p>
    <w:p w:rsidR="00110AE5" w:rsidRDefault="00110AE5" w:rsidP="00110AE5">
      <w:pPr>
        <w:jc w:val="both"/>
      </w:pPr>
    </w:p>
    <w:p w:rsidR="00110AE5" w:rsidRDefault="00110AE5" w:rsidP="005D33AC">
      <w:pPr>
        <w:pStyle w:val="Prrafodelista"/>
        <w:numPr>
          <w:ilvl w:val="0"/>
          <w:numId w:val="20"/>
        </w:numPr>
        <w:jc w:val="both"/>
      </w:pPr>
      <w:r>
        <w:lastRenderedPageBreak/>
        <w:t xml:space="preserve">No se ha localizado información sobre las encomiendas de gestión. </w:t>
      </w:r>
    </w:p>
    <w:p w:rsidR="005D33AC" w:rsidRDefault="005D33AC" w:rsidP="005D33AC">
      <w:pPr>
        <w:pStyle w:val="Prrafodelista"/>
      </w:pPr>
    </w:p>
    <w:p w:rsidR="005D33AC" w:rsidRDefault="005D33AC" w:rsidP="005D33AC">
      <w:pPr>
        <w:pStyle w:val="Prrafodelista"/>
        <w:numPr>
          <w:ilvl w:val="0"/>
          <w:numId w:val="20"/>
        </w:numPr>
        <w:jc w:val="both"/>
      </w:pPr>
      <w:r>
        <w:t>No se ha localizado información sobre las subvenciones, aunque se publican las convocatorias no se incorpora la información obligatoria que establece la LTAIBG: objeto, beneficiario y cuantía de las subvenciones concedidas.</w:t>
      </w:r>
    </w:p>
    <w:p w:rsidR="005D33AC" w:rsidRDefault="005D33AC" w:rsidP="005D33AC">
      <w:pPr>
        <w:pStyle w:val="Prrafodelista"/>
      </w:pPr>
    </w:p>
    <w:p w:rsidR="005D33AC" w:rsidRDefault="005D33AC" w:rsidP="005D33AC">
      <w:pPr>
        <w:pStyle w:val="Prrafodelista"/>
        <w:numPr>
          <w:ilvl w:val="0"/>
          <w:numId w:val="20"/>
        </w:numPr>
        <w:jc w:val="both"/>
      </w:pPr>
      <w:r>
        <w:t>No existe información sobre ejecución presupuestaria.</w:t>
      </w:r>
    </w:p>
    <w:p w:rsidR="005D33AC" w:rsidRDefault="005D33AC" w:rsidP="005D33AC">
      <w:pPr>
        <w:pStyle w:val="Prrafodelista"/>
      </w:pPr>
    </w:p>
    <w:p w:rsidR="005D33AC" w:rsidRDefault="005D33AC" w:rsidP="005D33AC">
      <w:pPr>
        <w:pStyle w:val="Prrafodelista"/>
        <w:numPr>
          <w:ilvl w:val="0"/>
          <w:numId w:val="20"/>
        </w:numPr>
        <w:jc w:val="both"/>
      </w:pPr>
      <w:r>
        <w:t>No se han localizado los informes de auditoría de cuentas y fiscalización realizados por órganos de control externo.</w:t>
      </w:r>
    </w:p>
    <w:p w:rsidR="005D33AC" w:rsidRDefault="005D33AC" w:rsidP="005D33AC">
      <w:pPr>
        <w:pStyle w:val="Prrafodelista"/>
      </w:pPr>
    </w:p>
    <w:p w:rsidR="00110AE5" w:rsidRPr="00320430" w:rsidRDefault="00110AE5" w:rsidP="00320430">
      <w:pPr>
        <w:pStyle w:val="Prrafodelista"/>
        <w:numPr>
          <w:ilvl w:val="0"/>
          <w:numId w:val="20"/>
        </w:numPr>
        <w:jc w:val="both"/>
        <w:rPr>
          <w:b/>
        </w:rPr>
      </w:pPr>
      <w:r>
        <w:t xml:space="preserve">No se ha localizado información sobre </w:t>
      </w:r>
      <w:r w:rsidRPr="00304774">
        <w:t>las retribuciones percibidas anualmente por los altos cargos y máximos responsables del Ayuntamiento</w:t>
      </w:r>
      <w:r>
        <w:t>,</w:t>
      </w:r>
      <w:r w:rsidRPr="00304774">
        <w:t xml:space="preserve"> las resoluciones que autoricen el ejercicio de actividad privada con motivo del cese de los altos cargos</w:t>
      </w:r>
      <w:r>
        <w:t xml:space="preserve"> ni sobre </w:t>
      </w:r>
      <w:r w:rsidRPr="00304774">
        <w:t>las resoluciones de autorización o reconocimiento de compatibilidad que afecten a los empleados públicos</w:t>
      </w:r>
      <w:r>
        <w:t>.</w:t>
      </w:r>
    </w:p>
    <w:p w:rsidR="00110AE5" w:rsidRDefault="00110AE5" w:rsidP="00110AE5">
      <w:pPr>
        <w:jc w:val="both"/>
      </w:pPr>
    </w:p>
    <w:p w:rsidR="00110AE5" w:rsidRDefault="00110AE5" w:rsidP="00320430">
      <w:pPr>
        <w:pStyle w:val="Prrafodelista"/>
        <w:numPr>
          <w:ilvl w:val="0"/>
          <w:numId w:val="20"/>
        </w:numPr>
        <w:jc w:val="both"/>
      </w:pPr>
      <w:r>
        <w:t>No toda la información se encuentra datada y no siempre se indica la fecha de actualización. A estos efectos, se puede señalar, como ejemplo, la información acerca de la organización municipal</w:t>
      </w:r>
    </w:p>
    <w:p w:rsidR="00110AE5" w:rsidRDefault="00110AE5" w:rsidP="0080605C">
      <w:pPr>
        <w:pStyle w:val="Cuerpodelboletn"/>
      </w:pPr>
    </w:p>
    <w:p w:rsidR="009D78CA" w:rsidRDefault="009D78CA" w:rsidP="009D78CA">
      <w:pPr>
        <w:pStyle w:val="Cuerpodelboletn"/>
        <w:numPr>
          <w:ilvl w:val="0"/>
          <w:numId w:val="18"/>
        </w:numPr>
      </w:pPr>
      <w:r>
        <w:t xml:space="preserve">En el caso de que </w:t>
      </w:r>
      <w:r w:rsidRPr="009D78CA">
        <w:t>no se publica</w:t>
      </w:r>
      <w:r>
        <w:t>ra</w:t>
      </w:r>
      <w:r w:rsidRPr="009D78CA">
        <w:t xml:space="preserve"> información por no haber actividad en ese ámbito</w:t>
      </w:r>
      <w:r>
        <w:t>, se debería hacer</w:t>
      </w:r>
      <w:r w:rsidRPr="009D78CA">
        <w:t xml:space="preserve"> constar </w:t>
      </w:r>
      <w:r>
        <w:t>tal</w:t>
      </w:r>
      <w:r w:rsidRPr="009D78CA">
        <w:t xml:space="preserve"> circunstancia</w:t>
      </w:r>
      <w:r>
        <w:t>.</w:t>
      </w:r>
    </w:p>
    <w:p w:rsidR="000246B3" w:rsidRDefault="000246B3" w:rsidP="000246B3">
      <w:pPr>
        <w:pStyle w:val="Prrafodelista"/>
        <w:numPr>
          <w:ilvl w:val="0"/>
          <w:numId w:val="18"/>
        </w:numPr>
        <w:jc w:val="both"/>
        <w:rPr>
          <w:color w:val="000000"/>
        </w:rPr>
      </w:pPr>
      <w:r>
        <w:rPr>
          <w:color w:val="000000"/>
        </w:rPr>
        <w:t xml:space="preserve">Toda la información </w:t>
      </w:r>
      <w:r w:rsidR="00320430">
        <w:rPr>
          <w:color w:val="000000"/>
        </w:rPr>
        <w:t xml:space="preserve">obligatoria </w:t>
      </w:r>
      <w:r>
        <w:rPr>
          <w:color w:val="000000"/>
        </w:rPr>
        <w:t xml:space="preserve">debería localizarse </w:t>
      </w:r>
      <w:r w:rsidR="00320430">
        <w:rPr>
          <w:color w:val="000000"/>
        </w:rPr>
        <w:t>o ser accesible desde e</w:t>
      </w:r>
      <w:r>
        <w:rPr>
          <w:color w:val="000000"/>
        </w:rPr>
        <w:t>l Portal de Transparencia</w:t>
      </w:r>
    </w:p>
    <w:p w:rsidR="000246B3" w:rsidRPr="000246B3" w:rsidRDefault="000246B3" w:rsidP="000246B3">
      <w:pPr>
        <w:pStyle w:val="Prrafodelista"/>
        <w:rPr>
          <w:color w:val="000000"/>
        </w:rPr>
      </w:pPr>
    </w:p>
    <w:p w:rsidR="0080605C" w:rsidRDefault="0080605C" w:rsidP="0080605C">
      <w:pPr>
        <w:pStyle w:val="Cuerpodelboletn"/>
      </w:pPr>
      <w:r>
        <w:t xml:space="preserve">Madrid, </w:t>
      </w:r>
      <w:r w:rsidR="00320430">
        <w:t>diciembre</w:t>
      </w:r>
      <w:r>
        <w:t xml:space="preserve"> de 2021</w:t>
      </w:r>
    </w:p>
    <w:p w:rsidR="00C259F4" w:rsidRDefault="00C259F4" w:rsidP="00965C69">
      <w:pPr>
        <w:pStyle w:val="Cuerpodelboletn"/>
        <w:sectPr w:rsidR="00C259F4" w:rsidSect="003C3C06">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3B3A29BF" wp14:editId="4160699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2AC09516" wp14:editId="392439C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D33AC" w:rsidRPr="00F31BC3" w:rsidRDefault="005D33AC" w:rsidP="002D27E4">
                            <w:r w:rsidRPr="00965C69">
                              <w:rPr>
                                <w:noProof/>
                                <w:lang w:eastAsia="es-ES"/>
                              </w:rPr>
                              <w:drawing>
                                <wp:inline distT="0" distB="0" distL="0" distR="0" wp14:anchorId="19C2C313" wp14:editId="5FC2658D">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5D33AC" w:rsidRPr="00F31BC3" w:rsidRDefault="005D33AC" w:rsidP="002D27E4">
                      <w:r w:rsidRPr="00965C69">
                        <w:rPr>
                          <w:noProof/>
                          <w:lang w:eastAsia="es-ES"/>
                        </w:rPr>
                        <w:drawing>
                          <wp:inline distT="0" distB="0" distL="0" distR="0" wp14:anchorId="19C2C313" wp14:editId="5FC2658D">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DCA018E" wp14:editId="09AA722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6AE9827A" wp14:editId="1B3F736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D33AC" w:rsidRPr="00F31BC3" w:rsidRDefault="005D33AC" w:rsidP="002D27E4">
                                <w:r w:rsidRPr="00965C69">
                                  <w:rPr>
                                    <w:noProof/>
                                    <w:lang w:eastAsia="es-ES"/>
                                  </w:rPr>
                                  <w:drawing>
                                    <wp:inline distT="0" distB="0" distL="0" distR="0" wp14:anchorId="67350A5F" wp14:editId="78DBDD96">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5D33AC" w:rsidRPr="00F31BC3" w:rsidRDefault="005D33AC" w:rsidP="002D27E4">
                          <w:r w:rsidRPr="00965C69">
                            <w:rPr>
                              <w:noProof/>
                              <w:lang w:eastAsia="es-ES"/>
                            </w:rPr>
                            <w:drawing>
                              <wp:inline distT="0" distB="0" distL="0" distR="0" wp14:anchorId="67350A5F" wp14:editId="78DBDD96">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3C3C06">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AC" w:rsidRDefault="005D33AC" w:rsidP="00F31BC3">
      <w:r>
        <w:separator/>
      </w:r>
    </w:p>
  </w:endnote>
  <w:endnote w:type="continuationSeparator" w:id="0">
    <w:p w:rsidR="005D33AC" w:rsidRDefault="005D33A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AC" w:rsidRDefault="005D33AC" w:rsidP="00F31BC3">
      <w:r>
        <w:separator/>
      </w:r>
    </w:p>
  </w:footnote>
  <w:footnote w:type="continuationSeparator" w:id="0">
    <w:p w:rsidR="005D33AC" w:rsidRDefault="005D33A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9pt;height:9pt" o:bullet="t">
        <v:imagedata r:id="rId1" o:title="BD14533_"/>
      </v:shape>
    </w:pict>
  </w:numPicBullet>
  <w:numPicBullet w:numPicBulletId="1">
    <w:pict>
      <v:shape id="_x0000_i1122" type="#_x0000_t75" style="width:9pt;height:9pt" o:bullet="t">
        <v:imagedata r:id="rId2"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7863FE"/>
    <w:multiLevelType w:val="hybridMultilevel"/>
    <w:tmpl w:val="64DCD65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70955D63"/>
    <w:multiLevelType w:val="hybridMultilevel"/>
    <w:tmpl w:val="984291E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5"/>
  </w:num>
  <w:num w:numId="3">
    <w:abstractNumId w:val="7"/>
  </w:num>
  <w:num w:numId="4">
    <w:abstractNumId w:val="0"/>
  </w:num>
  <w:num w:numId="5">
    <w:abstractNumId w:val="13"/>
  </w:num>
  <w:num w:numId="6">
    <w:abstractNumId w:val="14"/>
  </w:num>
  <w:num w:numId="7">
    <w:abstractNumId w:val="12"/>
  </w:num>
  <w:num w:numId="8">
    <w:abstractNumId w:val="1"/>
  </w:num>
  <w:num w:numId="9">
    <w:abstractNumId w:val="4"/>
  </w:num>
  <w:num w:numId="10">
    <w:abstractNumId w:val="3"/>
  </w:num>
  <w:num w:numId="11">
    <w:abstractNumId w:val="16"/>
  </w:num>
  <w:num w:numId="12">
    <w:abstractNumId w:val="11"/>
  </w:num>
  <w:num w:numId="13">
    <w:abstractNumId w:val="5"/>
  </w:num>
  <w:num w:numId="14">
    <w:abstractNumId w:val="17"/>
  </w:num>
  <w:num w:numId="15">
    <w:abstractNumId w:val="2"/>
  </w:num>
  <w:num w:numId="16">
    <w:abstractNumId w:val="19"/>
  </w:num>
  <w:num w:numId="17">
    <w:abstractNumId w:val="9"/>
  </w:num>
  <w:num w:numId="18">
    <w:abstractNumId w:val="8"/>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46B3"/>
    <w:rsid w:val="00032D8A"/>
    <w:rsid w:val="00053A0E"/>
    <w:rsid w:val="0005642F"/>
    <w:rsid w:val="00072B7E"/>
    <w:rsid w:val="000775A5"/>
    <w:rsid w:val="00082BA9"/>
    <w:rsid w:val="00087B75"/>
    <w:rsid w:val="000A6244"/>
    <w:rsid w:val="000A77F5"/>
    <w:rsid w:val="000B22CE"/>
    <w:rsid w:val="000C270E"/>
    <w:rsid w:val="000D3907"/>
    <w:rsid w:val="000D5417"/>
    <w:rsid w:val="000E0A9E"/>
    <w:rsid w:val="00104DE9"/>
    <w:rsid w:val="00104E94"/>
    <w:rsid w:val="00110AE5"/>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27CA"/>
    <w:rsid w:val="002166AA"/>
    <w:rsid w:val="0021682B"/>
    <w:rsid w:val="00231D61"/>
    <w:rsid w:val="00236333"/>
    <w:rsid w:val="00243294"/>
    <w:rsid w:val="00244EDA"/>
    <w:rsid w:val="002467FA"/>
    <w:rsid w:val="00263F79"/>
    <w:rsid w:val="00281510"/>
    <w:rsid w:val="00284728"/>
    <w:rsid w:val="0028502C"/>
    <w:rsid w:val="0029687A"/>
    <w:rsid w:val="00297816"/>
    <w:rsid w:val="002D0702"/>
    <w:rsid w:val="002D27E4"/>
    <w:rsid w:val="002E409F"/>
    <w:rsid w:val="00304774"/>
    <w:rsid w:val="003145AC"/>
    <w:rsid w:val="0031769F"/>
    <w:rsid w:val="00320430"/>
    <w:rsid w:val="00333C82"/>
    <w:rsid w:val="00342441"/>
    <w:rsid w:val="00347877"/>
    <w:rsid w:val="00355DC0"/>
    <w:rsid w:val="003A1694"/>
    <w:rsid w:val="003A390C"/>
    <w:rsid w:val="003B57E6"/>
    <w:rsid w:val="003B6B96"/>
    <w:rsid w:val="003C2AD7"/>
    <w:rsid w:val="003C3C06"/>
    <w:rsid w:val="003D2C4A"/>
    <w:rsid w:val="003E564B"/>
    <w:rsid w:val="003E5D2F"/>
    <w:rsid w:val="003F6EDC"/>
    <w:rsid w:val="00410FA7"/>
    <w:rsid w:val="00415DBD"/>
    <w:rsid w:val="00422B18"/>
    <w:rsid w:val="00434403"/>
    <w:rsid w:val="004720A5"/>
    <w:rsid w:val="0047735C"/>
    <w:rsid w:val="004859CC"/>
    <w:rsid w:val="004A13C8"/>
    <w:rsid w:val="004A1663"/>
    <w:rsid w:val="004B7FC7"/>
    <w:rsid w:val="004C27AC"/>
    <w:rsid w:val="004C6440"/>
    <w:rsid w:val="004D50CC"/>
    <w:rsid w:val="004D7037"/>
    <w:rsid w:val="004E7B33"/>
    <w:rsid w:val="00506864"/>
    <w:rsid w:val="00506BBF"/>
    <w:rsid w:val="005301DF"/>
    <w:rsid w:val="00536832"/>
    <w:rsid w:val="00552924"/>
    <w:rsid w:val="00560609"/>
    <w:rsid w:val="00563295"/>
    <w:rsid w:val="005910BE"/>
    <w:rsid w:val="005B1544"/>
    <w:rsid w:val="005B79BF"/>
    <w:rsid w:val="005C4778"/>
    <w:rsid w:val="005D33AC"/>
    <w:rsid w:val="005E2505"/>
    <w:rsid w:val="005E6704"/>
    <w:rsid w:val="00601553"/>
    <w:rsid w:val="00603DFC"/>
    <w:rsid w:val="006166B4"/>
    <w:rsid w:val="0062487E"/>
    <w:rsid w:val="00633EAA"/>
    <w:rsid w:val="00635BA1"/>
    <w:rsid w:val="00642CF4"/>
    <w:rsid w:val="0066395B"/>
    <w:rsid w:val="0069673B"/>
    <w:rsid w:val="006B75D8"/>
    <w:rsid w:val="006C0CDD"/>
    <w:rsid w:val="006D33BD"/>
    <w:rsid w:val="006D49E7"/>
    <w:rsid w:val="006D4C90"/>
    <w:rsid w:val="006E75DE"/>
    <w:rsid w:val="00701B33"/>
    <w:rsid w:val="007071A8"/>
    <w:rsid w:val="00707C14"/>
    <w:rsid w:val="00714C54"/>
    <w:rsid w:val="0071691D"/>
    <w:rsid w:val="00717272"/>
    <w:rsid w:val="007327CF"/>
    <w:rsid w:val="0073626B"/>
    <w:rsid w:val="00750213"/>
    <w:rsid w:val="00751FAA"/>
    <w:rsid w:val="00760E4B"/>
    <w:rsid w:val="0076640C"/>
    <w:rsid w:val="00767C60"/>
    <w:rsid w:val="00777FB3"/>
    <w:rsid w:val="00781700"/>
    <w:rsid w:val="00790143"/>
    <w:rsid w:val="007942B7"/>
    <w:rsid w:val="007954A6"/>
    <w:rsid w:val="007C430A"/>
    <w:rsid w:val="007D1701"/>
    <w:rsid w:val="007D5CBF"/>
    <w:rsid w:val="007D69D9"/>
    <w:rsid w:val="007F1D56"/>
    <w:rsid w:val="007F5F9D"/>
    <w:rsid w:val="007F63AB"/>
    <w:rsid w:val="00803D20"/>
    <w:rsid w:val="0080605C"/>
    <w:rsid w:val="00807495"/>
    <w:rsid w:val="00821526"/>
    <w:rsid w:val="0082470D"/>
    <w:rsid w:val="00825ACB"/>
    <w:rsid w:val="0088091A"/>
    <w:rsid w:val="00882A5B"/>
    <w:rsid w:val="00887F64"/>
    <w:rsid w:val="00890C86"/>
    <w:rsid w:val="00891E6F"/>
    <w:rsid w:val="00894358"/>
    <w:rsid w:val="0089455A"/>
    <w:rsid w:val="00897D04"/>
    <w:rsid w:val="008A5657"/>
    <w:rsid w:val="008A5AAE"/>
    <w:rsid w:val="008D6461"/>
    <w:rsid w:val="00902A71"/>
    <w:rsid w:val="009039FD"/>
    <w:rsid w:val="00903FE0"/>
    <w:rsid w:val="00912DB4"/>
    <w:rsid w:val="009145FC"/>
    <w:rsid w:val="00953FE5"/>
    <w:rsid w:val="00961363"/>
    <w:rsid w:val="009654DA"/>
    <w:rsid w:val="00965C69"/>
    <w:rsid w:val="009749FA"/>
    <w:rsid w:val="00982299"/>
    <w:rsid w:val="00982FE8"/>
    <w:rsid w:val="0099442A"/>
    <w:rsid w:val="009B75CD"/>
    <w:rsid w:val="009C5469"/>
    <w:rsid w:val="009D1F6D"/>
    <w:rsid w:val="009D35A4"/>
    <w:rsid w:val="009D3CC3"/>
    <w:rsid w:val="009D4047"/>
    <w:rsid w:val="009D78CA"/>
    <w:rsid w:val="009D78D2"/>
    <w:rsid w:val="009E049D"/>
    <w:rsid w:val="009E2E6F"/>
    <w:rsid w:val="009E7254"/>
    <w:rsid w:val="00A03993"/>
    <w:rsid w:val="00A0626F"/>
    <w:rsid w:val="00A1361E"/>
    <w:rsid w:val="00A2365C"/>
    <w:rsid w:val="00A24E51"/>
    <w:rsid w:val="00A51AAD"/>
    <w:rsid w:val="00A54B8C"/>
    <w:rsid w:val="00A82709"/>
    <w:rsid w:val="00A8369C"/>
    <w:rsid w:val="00AA0AE1"/>
    <w:rsid w:val="00AC2723"/>
    <w:rsid w:val="00AC4A6F"/>
    <w:rsid w:val="00AD6065"/>
    <w:rsid w:val="00AE00AB"/>
    <w:rsid w:val="00AE4F68"/>
    <w:rsid w:val="00AE6A4F"/>
    <w:rsid w:val="00AF5151"/>
    <w:rsid w:val="00B1184C"/>
    <w:rsid w:val="00B220EC"/>
    <w:rsid w:val="00B31B25"/>
    <w:rsid w:val="00B5314A"/>
    <w:rsid w:val="00B56A3A"/>
    <w:rsid w:val="00B77C12"/>
    <w:rsid w:val="00B85EA1"/>
    <w:rsid w:val="00B87734"/>
    <w:rsid w:val="00B9237A"/>
    <w:rsid w:val="00BA03C4"/>
    <w:rsid w:val="00BA14E6"/>
    <w:rsid w:val="00BA2F41"/>
    <w:rsid w:val="00BA3611"/>
    <w:rsid w:val="00BB2529"/>
    <w:rsid w:val="00BC61D1"/>
    <w:rsid w:val="00BD18E4"/>
    <w:rsid w:val="00BD1E44"/>
    <w:rsid w:val="00BD2172"/>
    <w:rsid w:val="00BD2842"/>
    <w:rsid w:val="00BF4BDD"/>
    <w:rsid w:val="00C02953"/>
    <w:rsid w:val="00C1290B"/>
    <w:rsid w:val="00C213EC"/>
    <w:rsid w:val="00C22B10"/>
    <w:rsid w:val="00C24010"/>
    <w:rsid w:val="00C259F4"/>
    <w:rsid w:val="00C27705"/>
    <w:rsid w:val="00C3228C"/>
    <w:rsid w:val="00C4050E"/>
    <w:rsid w:val="00C4430D"/>
    <w:rsid w:val="00C451D3"/>
    <w:rsid w:val="00C46598"/>
    <w:rsid w:val="00C54D21"/>
    <w:rsid w:val="00C555C6"/>
    <w:rsid w:val="00C61E7F"/>
    <w:rsid w:val="00C66E73"/>
    <w:rsid w:val="00C91330"/>
    <w:rsid w:val="00CC48E8"/>
    <w:rsid w:val="00CD3DE8"/>
    <w:rsid w:val="00CD5302"/>
    <w:rsid w:val="00CF21EB"/>
    <w:rsid w:val="00D014E1"/>
    <w:rsid w:val="00D01CA1"/>
    <w:rsid w:val="00D1453D"/>
    <w:rsid w:val="00D16C43"/>
    <w:rsid w:val="00D33D63"/>
    <w:rsid w:val="00D3672E"/>
    <w:rsid w:val="00D41F4C"/>
    <w:rsid w:val="00D520C8"/>
    <w:rsid w:val="00D6174F"/>
    <w:rsid w:val="00D70570"/>
    <w:rsid w:val="00D96084"/>
    <w:rsid w:val="00DA6660"/>
    <w:rsid w:val="00DC5B52"/>
    <w:rsid w:val="00DD515F"/>
    <w:rsid w:val="00DF25D7"/>
    <w:rsid w:val="00DF555F"/>
    <w:rsid w:val="00E023B5"/>
    <w:rsid w:val="00E04C65"/>
    <w:rsid w:val="00E17DF6"/>
    <w:rsid w:val="00E33169"/>
    <w:rsid w:val="00E51AC4"/>
    <w:rsid w:val="00E6528C"/>
    <w:rsid w:val="00E73F4D"/>
    <w:rsid w:val="00EA385F"/>
    <w:rsid w:val="00EC6A3E"/>
    <w:rsid w:val="00ED30F1"/>
    <w:rsid w:val="00ED57F6"/>
    <w:rsid w:val="00ED6104"/>
    <w:rsid w:val="00ED7D79"/>
    <w:rsid w:val="00EE3D1F"/>
    <w:rsid w:val="00EE5F85"/>
    <w:rsid w:val="00EF39ED"/>
    <w:rsid w:val="00EF5B46"/>
    <w:rsid w:val="00EF6910"/>
    <w:rsid w:val="00EF7B14"/>
    <w:rsid w:val="00F04B4F"/>
    <w:rsid w:val="00F05E2C"/>
    <w:rsid w:val="00F132F9"/>
    <w:rsid w:val="00F24BAF"/>
    <w:rsid w:val="00F25044"/>
    <w:rsid w:val="00F31BC3"/>
    <w:rsid w:val="00F36022"/>
    <w:rsid w:val="00F5342F"/>
    <w:rsid w:val="00F614CD"/>
    <w:rsid w:val="00F7274D"/>
    <w:rsid w:val="00F85BA5"/>
    <w:rsid w:val="00F95333"/>
    <w:rsid w:val="00FA0C58"/>
    <w:rsid w:val="00FA11BE"/>
    <w:rsid w:val="00FA1911"/>
    <w:rsid w:val="00FA5997"/>
    <w:rsid w:val="00FA5AFD"/>
    <w:rsid w:val="00FA6B0E"/>
    <w:rsid w:val="00FC4E74"/>
    <w:rsid w:val="00FD4E10"/>
    <w:rsid w:val="00FF4453"/>
    <w:rsid w:val="00FF4A5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10AE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10AE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yto-aviles.transparencialocal.gob.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viles.es/planes-municipale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viles.es/transparenci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B4206"/>
    <w:rsid w:val="001C199A"/>
    <w:rsid w:val="00583D19"/>
    <w:rsid w:val="005D1938"/>
    <w:rsid w:val="006509F0"/>
    <w:rsid w:val="00787EBD"/>
    <w:rsid w:val="007D690F"/>
    <w:rsid w:val="008E118A"/>
    <w:rsid w:val="00A005E7"/>
    <w:rsid w:val="00AB484A"/>
    <w:rsid w:val="00BD02EB"/>
    <w:rsid w:val="00C32372"/>
    <w:rsid w:val="00CD190A"/>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D0E6D-5EEF-4806-8D20-ACFBE996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2213</TotalTime>
  <Pages>8</Pages>
  <Words>2185</Words>
  <Characters>12021</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33</cp:revision>
  <cp:lastPrinted>2008-09-26T23:14:00Z</cp:lastPrinted>
  <dcterms:created xsi:type="dcterms:W3CDTF">2021-10-07T07:40:00Z</dcterms:created>
  <dcterms:modified xsi:type="dcterms:W3CDTF">2021-12-10T09:14:00Z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