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2F0303" w:rsidRDefault="002F0303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Ciudad Real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2F0303" w:rsidRDefault="002F0303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Ciudad Real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F0303" w:rsidRDefault="002F030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2BC7" w:rsidRDefault="00EC2BC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90D2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AB7FB8">
        <w:tc>
          <w:tcPr>
            <w:tcW w:w="2093" w:type="dxa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B7FB8" w:rsidRPr="007942B7" w:rsidTr="00DE1693">
        <w:tc>
          <w:tcPr>
            <w:tcW w:w="2093" w:type="dxa"/>
            <w:shd w:val="clear" w:color="auto" w:fill="auto"/>
          </w:tcPr>
          <w:p w:rsidR="00AB7FB8" w:rsidRPr="00AB7FB8" w:rsidRDefault="00AB7FB8" w:rsidP="001C7D84">
            <w:pPr>
              <w:jc w:val="center"/>
              <w:rPr>
                <w:sz w:val="20"/>
                <w:szCs w:val="20"/>
              </w:rPr>
            </w:pPr>
            <w:r w:rsidRPr="00AB7FB8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  <w:shd w:val="clear" w:color="auto" w:fill="auto"/>
          </w:tcPr>
          <w:p w:rsidR="00AB7FB8" w:rsidRPr="00AB7FB8" w:rsidRDefault="00190D27" w:rsidP="00AB7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Estructurar la información conforme a la LTAIBG, norma autonómica de transparencia u ordenanza municipal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FB8" w:rsidRPr="00AB7FB8" w:rsidRDefault="00AB7FB8" w:rsidP="00DE1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shd w:val="clear" w:color="auto" w:fill="auto"/>
          </w:tcPr>
          <w:p w:rsidR="00AB7FB8" w:rsidRPr="00AB7FB8" w:rsidRDefault="00190D27" w:rsidP="00AB7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183301">
        <w:tc>
          <w:tcPr>
            <w:tcW w:w="2093" w:type="dxa"/>
            <w:vMerge w:val="restart"/>
            <w:vAlign w:val="center"/>
          </w:tcPr>
          <w:p w:rsidR="00807435" w:rsidRPr="00C3228C" w:rsidRDefault="0080743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07435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 normativa de carácter general aplicable a las entidades locales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AB7FB8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190D27" w:rsidP="0019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el grado de cumplimiento de los planes y programas municipales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190D27" w:rsidP="0019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podido comprobar. El acceso evaluación de la web de la estrategia de desarrollo urbano sostenible – a la que se redirige desde el Portal de Transparencia – da paso a una página con un mensaje de error.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7528F8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declaraciones anuales de bienes y actividades de los representantes locales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7528F8" w:rsidP="009C6E00">
            <w:pPr>
              <w:rPr>
                <w:sz w:val="20"/>
                <w:szCs w:val="20"/>
              </w:rPr>
            </w:pPr>
            <w:r w:rsidRPr="007528F8">
              <w:rPr>
                <w:sz w:val="20"/>
                <w:szCs w:val="20"/>
              </w:rPr>
              <w:t xml:space="preserve">No, </w:t>
            </w:r>
            <w:r w:rsidR="009C6E00">
              <w:rPr>
                <w:sz w:val="20"/>
                <w:szCs w:val="20"/>
              </w:rPr>
              <w:t>sigue publicándose un anuncio en el que se indica que los ciudadanos interesados en conocer esta información pueden acceder a ella mediante escrito dirigido a la Secretaría municipal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2F030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EC3D69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D875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E489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420A46" w:rsidRPr="007942B7" w:rsidRDefault="00420A46" w:rsidP="00420A46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2F0303" w:rsidP="00E00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AC505F" w:rsidP="00AC4A6F">
      <w:r>
        <w:t xml:space="preserve">El Ayuntamiento de </w:t>
      </w:r>
      <w:r w:rsidR="002F0303">
        <w:t xml:space="preserve">Ciudad Real </w:t>
      </w:r>
      <w:r w:rsidR="00160944">
        <w:t xml:space="preserve"> ha aplicado </w:t>
      </w:r>
      <w:r w:rsidR="002F0303">
        <w:t>una</w:t>
      </w:r>
      <w:r w:rsidR="00160944">
        <w:t xml:space="preserve"> de las recomendaciones derivadas de la evaluación realizada por este Consejo en 2020.</w:t>
      </w:r>
    </w:p>
    <w:p w:rsidR="007C58D1" w:rsidRDefault="007C58D1" w:rsidP="00876480">
      <w:pPr>
        <w:jc w:val="both"/>
      </w:pPr>
    </w:p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F0303" w:rsidRPr="00F31BC3" w:rsidRDefault="002F030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92635" w:rsidRPr="00225B8D" w:rsidTr="004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F0303" w:rsidRPr="00225B8D" w:rsidTr="002F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F0303" w:rsidRPr="00225B8D" w:rsidRDefault="002F0303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90,0</w:t>
            </w:r>
          </w:p>
        </w:tc>
      </w:tr>
      <w:tr w:rsidR="002F0303" w:rsidRPr="00225B8D" w:rsidTr="002F030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F0303" w:rsidRPr="00225B8D" w:rsidRDefault="002F0303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F0303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</w:tr>
      <w:tr w:rsidR="002F0303" w:rsidRPr="00225B8D" w:rsidTr="002F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F0303" w:rsidRPr="00225B8D" w:rsidRDefault="002F0303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88,1</w:t>
            </w:r>
          </w:p>
        </w:tc>
      </w:tr>
      <w:tr w:rsidR="002F0303" w:rsidRPr="00225B8D" w:rsidTr="002F030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F0303" w:rsidRPr="00225B8D" w:rsidRDefault="002F0303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0303">
              <w:rPr>
                <w:sz w:val="18"/>
                <w:szCs w:val="18"/>
              </w:rPr>
              <w:t>100,0</w:t>
            </w:r>
          </w:p>
        </w:tc>
      </w:tr>
      <w:tr w:rsidR="002F0303" w:rsidRPr="00225B8D" w:rsidTr="002F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F0303" w:rsidRPr="00225B8D" w:rsidRDefault="002F0303" w:rsidP="0049263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90,6</w:t>
            </w:r>
          </w:p>
        </w:tc>
        <w:tc>
          <w:tcPr>
            <w:tcW w:w="0" w:type="auto"/>
            <w:noWrap/>
            <w:vAlign w:val="center"/>
          </w:tcPr>
          <w:p w:rsidR="002F0303" w:rsidRPr="002F0303" w:rsidRDefault="002F0303" w:rsidP="002F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F0303">
              <w:rPr>
                <w:b/>
                <w:i/>
                <w:sz w:val="18"/>
                <w:szCs w:val="18"/>
              </w:rPr>
              <w:t>90,2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F0303">
        <w:rPr>
          <w:lang w:bidi="es-ES"/>
        </w:rPr>
        <w:t>90,2</w:t>
      </w:r>
      <w:r>
        <w:rPr>
          <w:lang w:bidi="es-ES"/>
        </w:rPr>
        <w:t>%. La falta de publicación de contenidos obligatorios – no se public</w:t>
      </w:r>
      <w:bookmarkStart w:id="0" w:name="_GoBack"/>
      <w:bookmarkEnd w:id="0"/>
      <w:r>
        <w:rPr>
          <w:lang w:bidi="es-ES"/>
        </w:rPr>
        <w:t xml:space="preserve">a el </w:t>
      </w:r>
      <w:r w:rsidR="002F0303">
        <w:rPr>
          <w:lang w:bidi="es-ES"/>
        </w:rPr>
        <w:t>9,4</w:t>
      </w:r>
      <w:r w:rsidR="008676F6">
        <w:rPr>
          <w:lang w:bidi="es-ES"/>
        </w:rPr>
        <w:t xml:space="preserve">% de ellos </w:t>
      </w:r>
      <w:r w:rsidR="002F0303">
        <w:rPr>
          <w:lang w:bidi="es-ES"/>
        </w:rPr>
        <w:t>–</w:t>
      </w:r>
      <w:r w:rsidR="008676F6">
        <w:rPr>
          <w:lang w:bidi="es-ES"/>
        </w:rPr>
        <w:t xml:space="preserve"> </w:t>
      </w:r>
      <w:r w:rsidR="002F0303">
        <w:rPr>
          <w:lang w:bidi="es-ES"/>
        </w:rPr>
        <w:t>y la publicación de algunas informaciones en formatos no reutilizables</w:t>
      </w:r>
      <w:r w:rsidR="00EC2BC7">
        <w:rPr>
          <w:rFonts w:eastAsia="Times New Roman" w:cs="Times New Roman"/>
          <w:szCs w:val="22"/>
          <w:lang w:eastAsia="es-ES"/>
        </w:rPr>
        <w:t xml:space="preserve">, </w:t>
      </w:r>
      <w:r w:rsidR="00EC2BC7" w:rsidRPr="00225B8D">
        <w:rPr>
          <w:rFonts w:eastAsia="Times New Roman" w:cs="Times New Roman"/>
          <w:szCs w:val="22"/>
          <w:lang w:eastAsia="es-ES"/>
        </w:rPr>
        <w:t>son los factores que explican el nivel de cumplimiento alcanzado</w:t>
      </w:r>
      <w:r>
        <w:rPr>
          <w:lang w:bidi="es-ES"/>
        </w:rPr>
        <w:t>.</w:t>
      </w: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 w:rsidR="002F0303">
        <w:rPr>
          <w:lang w:bidi="es-ES"/>
        </w:rPr>
        <w:t>2</w:t>
      </w:r>
      <w:r w:rsidR="008676F6">
        <w:rPr>
          <w:lang w:bidi="es-ES"/>
        </w:rPr>
        <w:t xml:space="preserve">,5 </w:t>
      </w:r>
      <w:r>
        <w:rPr>
          <w:lang w:bidi="es-ES"/>
        </w:rPr>
        <w:t>puntos porcentuales.</w:t>
      </w:r>
    </w:p>
    <w:p w:rsidR="00492635" w:rsidRDefault="00492635" w:rsidP="00492635">
      <w:pPr>
        <w:pStyle w:val="Cuerpodelboletn"/>
        <w:rPr>
          <w:lang w:bidi="es-ES"/>
        </w:rPr>
      </w:pPr>
    </w:p>
    <w:p w:rsidR="00C259F4" w:rsidRPr="002D27E4" w:rsidRDefault="00190D27" w:rsidP="00492635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117F27" w:rsidRDefault="00117F27" w:rsidP="00492635">
      <w:pPr>
        <w:pStyle w:val="Cuerpodelboletn"/>
      </w:pPr>
    </w:p>
    <w:p w:rsidR="00EC2BC7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>El cumplimiento de las obligaciones de publicidad activa po</w:t>
      </w:r>
      <w:r>
        <w:rPr>
          <w:color w:val="000000"/>
        </w:rPr>
        <w:t xml:space="preserve">r parte del Ayuntamiento de </w:t>
      </w:r>
      <w:r w:rsidR="002F0303">
        <w:rPr>
          <w:color w:val="000000"/>
        </w:rPr>
        <w:t>Ciudad Real</w:t>
      </w:r>
      <w:r w:rsidRPr="00EC2BC7">
        <w:rPr>
          <w:color w:val="000000"/>
        </w:rPr>
        <w:t xml:space="preserve">  </w:t>
      </w:r>
      <w:r>
        <w:rPr>
          <w:color w:val="000000"/>
        </w:rPr>
        <w:t>presenta una evolución positiva</w:t>
      </w:r>
      <w:r w:rsidRPr="00EC2BC7">
        <w:rPr>
          <w:color w:val="000000"/>
        </w:rPr>
        <w:t>. Este aumento del índice de cumplimiento podría haber sido más elevado si se hubiesen adoptado las recomendaciones formuladas a consecuencia de la evaluación realizada en 2020.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9A67FC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 xml:space="preserve">A pesar de esta evolución positiva, sigue existiendo margen de mejora dado que </w:t>
      </w:r>
      <w:proofErr w:type="gramStart"/>
      <w:r w:rsidRPr="00EC2BC7">
        <w:rPr>
          <w:color w:val="000000"/>
        </w:rPr>
        <w:t>persisten</w:t>
      </w:r>
      <w:proofErr w:type="gramEnd"/>
      <w:r w:rsidRPr="00EC2BC7">
        <w:rPr>
          <w:color w:val="000000"/>
        </w:rPr>
        <w:t xml:space="preserve"> </w:t>
      </w:r>
      <w:r w:rsidR="002F0303">
        <w:rPr>
          <w:color w:val="000000"/>
        </w:rPr>
        <w:t>parte</w:t>
      </w:r>
      <w:r w:rsidRPr="00EC2BC7">
        <w:rPr>
          <w:color w:val="000000"/>
        </w:rPr>
        <w:t xml:space="preserve"> de los déficits evidenciados en 2020: </w:t>
      </w:r>
    </w:p>
    <w:p w:rsidR="00DA44D8" w:rsidRDefault="00DA44D8" w:rsidP="00DA44D8">
      <w:pPr>
        <w:pStyle w:val="Prrafodelista"/>
        <w:ind w:left="780"/>
        <w:jc w:val="both"/>
        <w:rPr>
          <w:color w:val="000000"/>
        </w:rPr>
      </w:pPr>
    </w:p>
    <w:p w:rsidR="00EC2BC7" w:rsidRDefault="002F0303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La información sigue estructurándose conforme a las dimensiones e indicadores utilizados por Transparencia Internacional para evaluar el grado de transparencia de los ayuntamientos</w:t>
      </w:r>
      <w:r w:rsidR="008676F6">
        <w:rPr>
          <w:color w:val="000000"/>
        </w:rPr>
        <w:t>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DA44D8" w:rsidRDefault="002F0303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No es posible acceder a la información sobre cumplimiento de planes y programas dado que el enlace a esta información en la web de la EDUSI no está operativo</w:t>
      </w:r>
      <w:r w:rsidR="000F5094">
        <w:rPr>
          <w:color w:val="000000"/>
        </w:rPr>
        <w:t>.</w:t>
      </w:r>
    </w:p>
    <w:p w:rsidR="002F0303" w:rsidRPr="002F0303" w:rsidRDefault="002F0303" w:rsidP="002F0303">
      <w:pPr>
        <w:pStyle w:val="Prrafodelista"/>
        <w:rPr>
          <w:color w:val="000000"/>
        </w:rPr>
      </w:pPr>
    </w:p>
    <w:p w:rsidR="002F0303" w:rsidRDefault="002F0303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El acceso a las declaraciones anuales de bienes y actividades de los miembros de la corporación se efectúa mediante petición expresa dirigida al </w:t>
      </w:r>
      <w:r w:rsidR="00EE430A">
        <w:rPr>
          <w:color w:val="000000"/>
        </w:rPr>
        <w:t>Ayuntamiento</w:t>
      </w:r>
      <w:r>
        <w:rPr>
          <w:color w:val="000000"/>
        </w:rPr>
        <w:t>.</w:t>
      </w:r>
    </w:p>
    <w:p w:rsidR="00DA44D8" w:rsidRPr="00DA44D8" w:rsidRDefault="00DA44D8" w:rsidP="00DA44D8">
      <w:pPr>
        <w:pStyle w:val="Prrafodelista"/>
        <w:rPr>
          <w:color w:val="000000"/>
        </w:rPr>
      </w:pPr>
    </w:p>
    <w:p w:rsidR="00D70E63" w:rsidRDefault="00EE430A" w:rsidP="00160944">
      <w:pPr>
        <w:pStyle w:val="Prrafodelista"/>
        <w:numPr>
          <w:ilvl w:val="0"/>
          <w:numId w:val="18"/>
        </w:numPr>
        <w:jc w:val="both"/>
      </w:pPr>
      <w:r>
        <w:t>Algunas informaciones siguen publicándose en ficheros con formato de imagen por lo que no cumplen el criterio de reutilización</w:t>
      </w:r>
      <w:r w:rsidR="007C58BC">
        <w:t>.</w:t>
      </w:r>
    </w:p>
    <w:p w:rsidR="00925BF3" w:rsidRDefault="00160944" w:rsidP="00925BF3">
      <w:pPr>
        <w:pStyle w:val="Prrafodelista"/>
      </w:pP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D13185" wp14:editId="4A658B90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73D976" wp14:editId="686A3DC9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F0303" w:rsidRPr="00F31BC3" w:rsidRDefault="002F0303" w:rsidP="0016094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B855C1" wp14:editId="0CBEBABD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SxWvw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EC2BC7" w:rsidRPr="00F31BC3" w:rsidRDefault="00EC2BC7" w:rsidP="0016094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B855C1" wp14:editId="0CBEBABD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9A67FC" w:rsidRDefault="009A67FC" w:rsidP="009A67FC">
      <w:pPr>
        <w:pStyle w:val="Prrafodelista"/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93721C">
        <w:t>diciembre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F0303" w:rsidRPr="00F31BC3" w:rsidRDefault="002F030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F0303" w:rsidRPr="00F31BC3" w:rsidRDefault="002F030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2BC7" w:rsidRPr="00F31BC3" w:rsidRDefault="00EC2BC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03" w:rsidRDefault="002F0303" w:rsidP="00F31BC3">
      <w:r>
        <w:separator/>
      </w:r>
    </w:p>
  </w:endnote>
  <w:endnote w:type="continuationSeparator" w:id="0">
    <w:p w:rsidR="002F0303" w:rsidRDefault="002F030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03" w:rsidRDefault="002F0303" w:rsidP="00F31BC3">
      <w:r>
        <w:separator/>
      </w:r>
    </w:p>
  </w:footnote>
  <w:footnote w:type="continuationSeparator" w:id="0">
    <w:p w:rsidR="002F0303" w:rsidRDefault="002F030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0D56E6"/>
    <w:multiLevelType w:val="hybridMultilevel"/>
    <w:tmpl w:val="4726E0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30B"/>
    <w:multiLevelType w:val="hybridMultilevel"/>
    <w:tmpl w:val="17D8FC1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3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29A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0F5094"/>
    <w:rsid w:val="00104DE9"/>
    <w:rsid w:val="00104E94"/>
    <w:rsid w:val="001149B1"/>
    <w:rsid w:val="00117F27"/>
    <w:rsid w:val="00132732"/>
    <w:rsid w:val="00137166"/>
    <w:rsid w:val="00146C3C"/>
    <w:rsid w:val="00160944"/>
    <w:rsid w:val="00164876"/>
    <w:rsid w:val="001763F8"/>
    <w:rsid w:val="00183301"/>
    <w:rsid w:val="00187CDD"/>
    <w:rsid w:val="00190D27"/>
    <w:rsid w:val="0019448F"/>
    <w:rsid w:val="001A0DA8"/>
    <w:rsid w:val="001A4E12"/>
    <w:rsid w:val="001A5305"/>
    <w:rsid w:val="001C3E2F"/>
    <w:rsid w:val="001C4509"/>
    <w:rsid w:val="001C7C78"/>
    <w:rsid w:val="001C7D84"/>
    <w:rsid w:val="001E5AAD"/>
    <w:rsid w:val="0021181D"/>
    <w:rsid w:val="0021682B"/>
    <w:rsid w:val="00231D61"/>
    <w:rsid w:val="00243294"/>
    <w:rsid w:val="00244EDA"/>
    <w:rsid w:val="002451AF"/>
    <w:rsid w:val="002467FA"/>
    <w:rsid w:val="00247F0C"/>
    <w:rsid w:val="00263F79"/>
    <w:rsid w:val="00271F20"/>
    <w:rsid w:val="002D0702"/>
    <w:rsid w:val="002D27E4"/>
    <w:rsid w:val="002E409F"/>
    <w:rsid w:val="002F0303"/>
    <w:rsid w:val="0031769F"/>
    <w:rsid w:val="00347877"/>
    <w:rsid w:val="00355DC0"/>
    <w:rsid w:val="003A1694"/>
    <w:rsid w:val="003A390C"/>
    <w:rsid w:val="003B57E6"/>
    <w:rsid w:val="003B6B96"/>
    <w:rsid w:val="003B6CA2"/>
    <w:rsid w:val="003D2A34"/>
    <w:rsid w:val="003D2C4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52325"/>
    <w:rsid w:val="004720A5"/>
    <w:rsid w:val="0047735C"/>
    <w:rsid w:val="004859CC"/>
    <w:rsid w:val="00492635"/>
    <w:rsid w:val="00493C09"/>
    <w:rsid w:val="004A1663"/>
    <w:rsid w:val="004C1593"/>
    <w:rsid w:val="004C6440"/>
    <w:rsid w:val="004D50CC"/>
    <w:rsid w:val="004D7037"/>
    <w:rsid w:val="004E0083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241AE"/>
    <w:rsid w:val="00633EAA"/>
    <w:rsid w:val="00641C15"/>
    <w:rsid w:val="00661964"/>
    <w:rsid w:val="00685B59"/>
    <w:rsid w:val="0069673B"/>
    <w:rsid w:val="006B75D8"/>
    <w:rsid w:val="006C0CDD"/>
    <w:rsid w:val="006D49E7"/>
    <w:rsid w:val="006D4C90"/>
    <w:rsid w:val="006E75DE"/>
    <w:rsid w:val="007071A8"/>
    <w:rsid w:val="00707C14"/>
    <w:rsid w:val="00711FAD"/>
    <w:rsid w:val="00714C54"/>
    <w:rsid w:val="00717272"/>
    <w:rsid w:val="007361D6"/>
    <w:rsid w:val="0073626B"/>
    <w:rsid w:val="007407C6"/>
    <w:rsid w:val="00751FAA"/>
    <w:rsid w:val="007528F8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B2613"/>
    <w:rsid w:val="007C58BC"/>
    <w:rsid w:val="007C58D1"/>
    <w:rsid w:val="007D1701"/>
    <w:rsid w:val="007D5CBF"/>
    <w:rsid w:val="007D674D"/>
    <w:rsid w:val="007D69D9"/>
    <w:rsid w:val="007F1D56"/>
    <w:rsid w:val="007F5F9D"/>
    <w:rsid w:val="00803D20"/>
    <w:rsid w:val="00807435"/>
    <w:rsid w:val="00807495"/>
    <w:rsid w:val="00807DDF"/>
    <w:rsid w:val="0081136D"/>
    <w:rsid w:val="00821526"/>
    <w:rsid w:val="0082470D"/>
    <w:rsid w:val="00825ACB"/>
    <w:rsid w:val="008416B8"/>
    <w:rsid w:val="008676F6"/>
    <w:rsid w:val="00876480"/>
    <w:rsid w:val="00882A5B"/>
    <w:rsid w:val="00891E6F"/>
    <w:rsid w:val="00894358"/>
    <w:rsid w:val="0089455A"/>
    <w:rsid w:val="00897D04"/>
    <w:rsid w:val="008A5AAE"/>
    <w:rsid w:val="008D3BDC"/>
    <w:rsid w:val="00902A71"/>
    <w:rsid w:val="009039FD"/>
    <w:rsid w:val="00903FE0"/>
    <w:rsid w:val="00912DB4"/>
    <w:rsid w:val="009139A7"/>
    <w:rsid w:val="00925709"/>
    <w:rsid w:val="00925BF3"/>
    <w:rsid w:val="0093721C"/>
    <w:rsid w:val="00960001"/>
    <w:rsid w:val="009654DA"/>
    <w:rsid w:val="00965C69"/>
    <w:rsid w:val="00972910"/>
    <w:rsid w:val="00982299"/>
    <w:rsid w:val="0099459D"/>
    <w:rsid w:val="009A03A4"/>
    <w:rsid w:val="009A67FC"/>
    <w:rsid w:val="009B75CD"/>
    <w:rsid w:val="009C5469"/>
    <w:rsid w:val="009C6E00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61E"/>
    <w:rsid w:val="00A24E51"/>
    <w:rsid w:val="00A51AAD"/>
    <w:rsid w:val="00A82709"/>
    <w:rsid w:val="00A90C45"/>
    <w:rsid w:val="00AA0AE1"/>
    <w:rsid w:val="00AB7FB8"/>
    <w:rsid w:val="00AC2723"/>
    <w:rsid w:val="00AC4A48"/>
    <w:rsid w:val="00AC4A6F"/>
    <w:rsid w:val="00AC505F"/>
    <w:rsid w:val="00AC65BC"/>
    <w:rsid w:val="00AD193E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A03C4"/>
    <w:rsid w:val="00BA14E6"/>
    <w:rsid w:val="00BA3611"/>
    <w:rsid w:val="00BC61D1"/>
    <w:rsid w:val="00BD18E4"/>
    <w:rsid w:val="00BD1E44"/>
    <w:rsid w:val="00BD2172"/>
    <w:rsid w:val="00BD2842"/>
    <w:rsid w:val="00BF0241"/>
    <w:rsid w:val="00BF0E16"/>
    <w:rsid w:val="00C02953"/>
    <w:rsid w:val="00C02D3B"/>
    <w:rsid w:val="00C05A9F"/>
    <w:rsid w:val="00C1290B"/>
    <w:rsid w:val="00C213EC"/>
    <w:rsid w:val="00C24010"/>
    <w:rsid w:val="00C259F4"/>
    <w:rsid w:val="00C27705"/>
    <w:rsid w:val="00C3228C"/>
    <w:rsid w:val="00C4050E"/>
    <w:rsid w:val="00C41A3F"/>
    <w:rsid w:val="00C4430D"/>
    <w:rsid w:val="00C451D3"/>
    <w:rsid w:val="00C54D21"/>
    <w:rsid w:val="00C555C6"/>
    <w:rsid w:val="00C61119"/>
    <w:rsid w:val="00C61E7F"/>
    <w:rsid w:val="00C66E73"/>
    <w:rsid w:val="00C91330"/>
    <w:rsid w:val="00CA4C18"/>
    <w:rsid w:val="00CC48E8"/>
    <w:rsid w:val="00CC60B0"/>
    <w:rsid w:val="00CD3DE8"/>
    <w:rsid w:val="00CE489F"/>
    <w:rsid w:val="00CF17EF"/>
    <w:rsid w:val="00CF21EB"/>
    <w:rsid w:val="00D014E1"/>
    <w:rsid w:val="00D01CA1"/>
    <w:rsid w:val="00D03A9D"/>
    <w:rsid w:val="00D12B6E"/>
    <w:rsid w:val="00D1453D"/>
    <w:rsid w:val="00D27CE1"/>
    <w:rsid w:val="00D41F4C"/>
    <w:rsid w:val="00D520C8"/>
    <w:rsid w:val="00D70570"/>
    <w:rsid w:val="00D70E63"/>
    <w:rsid w:val="00D71587"/>
    <w:rsid w:val="00D87529"/>
    <w:rsid w:val="00D96084"/>
    <w:rsid w:val="00DA44D8"/>
    <w:rsid w:val="00DA6660"/>
    <w:rsid w:val="00DC0AAC"/>
    <w:rsid w:val="00DC5B52"/>
    <w:rsid w:val="00DD515F"/>
    <w:rsid w:val="00DE1693"/>
    <w:rsid w:val="00DF25D7"/>
    <w:rsid w:val="00DF50DC"/>
    <w:rsid w:val="00DF555F"/>
    <w:rsid w:val="00E00F0C"/>
    <w:rsid w:val="00E023B5"/>
    <w:rsid w:val="00E02FE5"/>
    <w:rsid w:val="00E133E0"/>
    <w:rsid w:val="00E17DF6"/>
    <w:rsid w:val="00E33169"/>
    <w:rsid w:val="00E51AC4"/>
    <w:rsid w:val="00E6528C"/>
    <w:rsid w:val="00E73F4D"/>
    <w:rsid w:val="00E77D81"/>
    <w:rsid w:val="00E810E7"/>
    <w:rsid w:val="00EC2BC7"/>
    <w:rsid w:val="00EC3D69"/>
    <w:rsid w:val="00EC6A3E"/>
    <w:rsid w:val="00ED30F1"/>
    <w:rsid w:val="00ED57F6"/>
    <w:rsid w:val="00ED6104"/>
    <w:rsid w:val="00ED7D79"/>
    <w:rsid w:val="00EE430A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6C49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42DF"/>
    <w:rsid w:val="00407F11"/>
    <w:rsid w:val="004429F1"/>
    <w:rsid w:val="0049353B"/>
    <w:rsid w:val="00497683"/>
    <w:rsid w:val="00583D19"/>
    <w:rsid w:val="005E1775"/>
    <w:rsid w:val="006674FD"/>
    <w:rsid w:val="00787EBD"/>
    <w:rsid w:val="00837882"/>
    <w:rsid w:val="0084656B"/>
    <w:rsid w:val="00861D94"/>
    <w:rsid w:val="008E118A"/>
    <w:rsid w:val="00AB484A"/>
    <w:rsid w:val="00C32372"/>
    <w:rsid w:val="00D30955"/>
    <w:rsid w:val="00DE3DE6"/>
    <w:rsid w:val="00E34F40"/>
    <w:rsid w:val="00E83883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3E69B-8505-4627-9F97-2D33F682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47</TotalTime>
  <Pages>4</Pages>
  <Words>828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2021-12-03T11:00:00Z</dcterms:created>
  <dcterms:modified xsi:type="dcterms:W3CDTF">2021-12-03T12:04:00Z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