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8069C2" w:rsidRDefault="008069C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Ayuntamiento de Oviedo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EC2BC7" w:rsidRDefault="00EC2BC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Ayuntamiento de Oviedo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9C2" w:rsidRDefault="008069C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C2BC7" w:rsidRDefault="00EC2BC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30C3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807435" w:rsidRPr="007942B7" w:rsidTr="00183301">
        <w:tc>
          <w:tcPr>
            <w:tcW w:w="2093" w:type="dxa"/>
            <w:vMerge w:val="restart"/>
            <w:vAlign w:val="center"/>
          </w:tcPr>
          <w:p w:rsidR="00807435" w:rsidRPr="00C3228C" w:rsidRDefault="0080743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07435" w:rsidRDefault="00807435" w:rsidP="004C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 normativa de carácter general aplicable a las entidades locales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A9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C1593">
              <w:rPr>
                <w:sz w:val="20"/>
                <w:szCs w:val="20"/>
              </w:rPr>
              <w:t>nformar sobre el grado de cumplimiento y resultados de los planes que aparecen publicados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>
            <w:pPr>
              <w:rPr>
                <w:sz w:val="20"/>
                <w:szCs w:val="20"/>
              </w:rPr>
            </w:pPr>
            <w:r w:rsidRPr="00A90C45"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4C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C1593">
              <w:rPr>
                <w:sz w:val="20"/>
                <w:szCs w:val="20"/>
              </w:rPr>
              <w:t>nformar de los proyectos de las disposiciones reglamentarias cuya iniciativa les corresponda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00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452325">
            <w:pPr>
              <w:rPr>
                <w:sz w:val="20"/>
                <w:szCs w:val="20"/>
              </w:rPr>
            </w:pPr>
            <w:r w:rsidRPr="00452325">
              <w:rPr>
                <w:sz w:val="20"/>
                <w:szCs w:val="20"/>
              </w:rPr>
              <w:t>Publica</w:t>
            </w:r>
            <w:r>
              <w:rPr>
                <w:sz w:val="20"/>
                <w:szCs w:val="20"/>
              </w:rPr>
              <w:t>r</w:t>
            </w:r>
            <w:r w:rsidRPr="00452325">
              <w:rPr>
                <w:sz w:val="20"/>
                <w:szCs w:val="20"/>
              </w:rPr>
              <w:t xml:space="preserve"> las memorias e informes que deben acompañar a estos proyectos.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2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685B59">
              <w:rPr>
                <w:sz w:val="20"/>
                <w:szCs w:val="20"/>
              </w:rPr>
              <w:t>información estadística sobre el porcentaje en volumen presupuestario de contratos adjudicados a través de cada uno de los procedimientos previstos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3C055B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menores: informar sobre </w:t>
            </w:r>
            <w:r w:rsidRPr="00960001">
              <w:rPr>
                <w:sz w:val="20"/>
                <w:szCs w:val="20"/>
              </w:rPr>
              <w:t>el importe de licitación y el número de licitadores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807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 sido posible comprobar el cumplimiento porque el enlace no cargaba la página correspondiente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Convenios: informar sobre </w:t>
            </w:r>
            <w:r w:rsidRPr="00960001">
              <w:rPr>
                <w:sz w:val="20"/>
                <w:szCs w:val="20"/>
              </w:rPr>
              <w:t xml:space="preserve">el plazo de duración de éstos </w:t>
            </w:r>
            <w:r>
              <w:rPr>
                <w:sz w:val="20"/>
                <w:szCs w:val="20"/>
              </w:rPr>
              <w:t>y</w:t>
            </w:r>
            <w:r w:rsidRPr="00960001">
              <w:rPr>
                <w:sz w:val="20"/>
                <w:szCs w:val="20"/>
              </w:rPr>
              <w:t xml:space="preserve"> sobre posibles modificaciones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Parcialmente, sigue sin publicarse el plazo de duración </w:t>
            </w:r>
          </w:p>
        </w:tc>
      </w:tr>
      <w:tr w:rsidR="00807435" w:rsidRPr="007942B7" w:rsidTr="00960001">
        <w:trPr>
          <w:trHeight w:val="1130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85B59">
              <w:rPr>
                <w:sz w:val="20"/>
                <w:szCs w:val="20"/>
              </w:rPr>
              <w:t xml:space="preserve">nformar de </w:t>
            </w:r>
            <w:r>
              <w:rPr>
                <w:sz w:val="20"/>
                <w:szCs w:val="20"/>
              </w:rPr>
              <w:t>las encomiendas de gestión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A0626F">
            <w:pPr>
              <w:rPr>
                <w:sz w:val="20"/>
                <w:szCs w:val="20"/>
              </w:rPr>
            </w:pPr>
            <w:r w:rsidRPr="00A90C45"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Actualizar la información relativa a</w:t>
            </w:r>
            <w:r w:rsidRPr="00960001">
              <w:rPr>
                <w:sz w:val="20"/>
                <w:szCs w:val="20"/>
              </w:rPr>
              <w:t xml:space="preserve"> los informes de fiscalización publicados por la Sindicatura de Cuentas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el enlace rendición de cuentas enlaza a la web rendicióndecuentas.es posicionando en la página inicial, por lo que es necesario </w:t>
            </w:r>
            <w:r>
              <w:rPr>
                <w:sz w:val="20"/>
                <w:szCs w:val="20"/>
              </w:rPr>
              <w:lastRenderedPageBreak/>
              <w:t xml:space="preserve">localizar el enlace a la Sindicatura de Cuentas de Asturias y a partir de allí efectuar una búsqueda de los informes relativos al Ayuntamiento 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información actualizada sobre las retribuciones de los máximos responsables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807435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7D674D">
              <w:rPr>
                <w:sz w:val="20"/>
                <w:szCs w:val="20"/>
              </w:rPr>
              <w:t>las resoluciones que autoricen el ejercicio de actividad privada con motivo del cese de los mismos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807435" w:rsidP="00492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685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7D674D">
              <w:rPr>
                <w:sz w:val="20"/>
                <w:szCs w:val="20"/>
              </w:rPr>
              <w:t>las resoluciones de autorización o reconocimiento de compatibilidad que afecten a los empleados públicos.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807435" w:rsidP="00492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EC3D69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D875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E489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420A46" w:rsidRPr="007942B7" w:rsidRDefault="00420A46" w:rsidP="00420A46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AC505F" w:rsidP="00D27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7C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AC505F" w:rsidP="00AC4A6F">
      <w:r>
        <w:t xml:space="preserve">El Ayuntamiento de </w:t>
      </w:r>
      <w:r w:rsidR="00807435">
        <w:t>Oviedo</w:t>
      </w:r>
      <w:r w:rsidR="00160944">
        <w:t xml:space="preserve"> ha aplicado </w:t>
      </w:r>
      <w:r w:rsidR="003C055B">
        <w:t>cuatro</w:t>
      </w:r>
      <w:r w:rsidR="00160944">
        <w:t xml:space="preserve"> de las recomendaciones derivadas de la evaluación realizada por este Consejo en 2020.</w:t>
      </w:r>
    </w:p>
    <w:p w:rsidR="007C58D1" w:rsidRDefault="007C58D1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630C36" w:rsidRDefault="00630C36" w:rsidP="00876480">
      <w:pPr>
        <w:jc w:val="both"/>
      </w:pPr>
    </w:p>
    <w:p w:rsidR="00630C36" w:rsidRDefault="00630C36" w:rsidP="00876480">
      <w:pPr>
        <w:jc w:val="both"/>
      </w:pPr>
    </w:p>
    <w:p w:rsidR="00E02FE5" w:rsidRDefault="00E02FE5" w:rsidP="00876480">
      <w:pPr>
        <w:jc w:val="both"/>
      </w:pPr>
    </w:p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9C2" w:rsidRPr="00F31BC3" w:rsidRDefault="008069C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492635" w:rsidRPr="00225B8D" w:rsidTr="004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07435" w:rsidRPr="00225B8D" w:rsidTr="0080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89,3</w:t>
            </w:r>
          </w:p>
        </w:tc>
      </w:tr>
      <w:tr w:rsidR="00807435" w:rsidRPr="00225B8D" w:rsidTr="0080743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45,0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45,7</w:t>
            </w:r>
          </w:p>
        </w:tc>
      </w:tr>
      <w:tr w:rsidR="008069C2" w:rsidRPr="00225B8D" w:rsidTr="009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069C2" w:rsidRPr="00225B8D" w:rsidRDefault="008069C2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76,4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76,3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72,0</w:t>
            </w:r>
          </w:p>
        </w:tc>
      </w:tr>
      <w:tr w:rsidR="008069C2" w:rsidRPr="00225B8D" w:rsidTr="0099177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069C2" w:rsidRPr="00225B8D" w:rsidRDefault="008069C2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1774">
              <w:rPr>
                <w:sz w:val="20"/>
                <w:szCs w:val="20"/>
              </w:rPr>
              <w:t>100,0</w:t>
            </w:r>
          </w:p>
        </w:tc>
      </w:tr>
      <w:tr w:rsidR="008069C2" w:rsidRPr="00225B8D" w:rsidTr="0099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069C2" w:rsidRPr="00225B8D" w:rsidRDefault="008069C2" w:rsidP="0049263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75,9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70,6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66,8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79,4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73,5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77,9</w:t>
            </w:r>
          </w:p>
        </w:tc>
        <w:tc>
          <w:tcPr>
            <w:tcW w:w="0" w:type="auto"/>
            <w:noWrap/>
            <w:vAlign w:val="center"/>
          </w:tcPr>
          <w:p w:rsidR="008069C2" w:rsidRPr="00991774" w:rsidRDefault="008069C2" w:rsidP="00991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91774">
              <w:rPr>
                <w:b/>
                <w:i/>
                <w:sz w:val="20"/>
                <w:szCs w:val="20"/>
              </w:rPr>
              <w:t>74,8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991774">
        <w:rPr>
          <w:lang w:bidi="es-ES"/>
        </w:rPr>
        <w:t>74,8</w:t>
      </w:r>
      <w:r>
        <w:rPr>
          <w:lang w:bidi="es-ES"/>
        </w:rPr>
        <w:t xml:space="preserve">%. La falta de publicación de contenidos obligatorios – no se publica el </w:t>
      </w:r>
      <w:r w:rsidR="00EC2BC7">
        <w:rPr>
          <w:lang w:bidi="es-ES"/>
        </w:rPr>
        <w:t>2</w:t>
      </w:r>
      <w:r w:rsidR="00991774">
        <w:rPr>
          <w:lang w:bidi="es-ES"/>
        </w:rPr>
        <w:t>4</w:t>
      </w:r>
      <w:r>
        <w:rPr>
          <w:lang w:bidi="es-ES"/>
        </w:rPr>
        <w:t xml:space="preserve">% de ellos -, </w:t>
      </w:r>
      <w:r w:rsidR="00EC2BC7">
        <w:rPr>
          <w:rFonts w:eastAsia="Times New Roman" w:cs="Times New Roman"/>
          <w:szCs w:val="22"/>
          <w:lang w:eastAsia="es-ES"/>
        </w:rPr>
        <w:t>e</w:t>
      </w:r>
      <w:r w:rsidR="00EC2BC7" w:rsidRPr="00225B8D">
        <w:rPr>
          <w:rFonts w:eastAsia="Times New Roman" w:cs="Times New Roman"/>
          <w:szCs w:val="22"/>
          <w:lang w:eastAsia="es-ES"/>
        </w:rPr>
        <w:t>l recurso a fuentes centralizadas para la publicación de diversas informaciones</w:t>
      </w:r>
      <w:r w:rsidR="00EC2BC7">
        <w:rPr>
          <w:rFonts w:eastAsia="Times New Roman" w:cs="Times New Roman"/>
          <w:szCs w:val="22"/>
          <w:lang w:eastAsia="es-ES"/>
        </w:rPr>
        <w:t xml:space="preserve"> y las barreras a la accesibilidad que implica esta forma de publicación, y la falta de referencias a la fecha de la última revisión o actualización de la información publicada</w:t>
      </w:r>
      <w:r w:rsidR="00EC2BC7" w:rsidRPr="00225B8D">
        <w:rPr>
          <w:rFonts w:eastAsia="Times New Roman" w:cs="Times New Roman"/>
          <w:szCs w:val="22"/>
          <w:lang w:eastAsia="es-ES"/>
        </w:rPr>
        <w:t>, son los factores que explican el nivel de cumplimiento alcanzado</w:t>
      </w:r>
      <w:r>
        <w:rPr>
          <w:lang w:bidi="es-ES"/>
        </w:rPr>
        <w:t>.</w:t>
      </w: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Respecto de 2020, el ICIO se ha incrementado en </w:t>
      </w:r>
      <w:r w:rsidR="008069C2">
        <w:rPr>
          <w:lang w:bidi="es-ES"/>
        </w:rPr>
        <w:t>6,7</w:t>
      </w:r>
      <w:r>
        <w:rPr>
          <w:lang w:bidi="es-ES"/>
        </w:rPr>
        <w:t xml:space="preserve"> puntos porcentuales.</w:t>
      </w:r>
    </w:p>
    <w:p w:rsidR="00492635" w:rsidRDefault="00492635" w:rsidP="00492635">
      <w:pPr>
        <w:pStyle w:val="Cuerpodelboletn"/>
        <w:rPr>
          <w:lang w:bidi="es-ES"/>
        </w:rPr>
      </w:pPr>
    </w:p>
    <w:p w:rsidR="00C259F4" w:rsidRPr="002D27E4" w:rsidRDefault="00630C36" w:rsidP="00492635">
      <w:pPr>
        <w:pStyle w:val="Cuerpodelboletn"/>
        <w:numPr>
          <w:ilvl w:val="0"/>
          <w:numId w:val="21"/>
        </w:numPr>
        <w:rPr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117F27" w:rsidRDefault="00117F27" w:rsidP="00492635">
      <w:pPr>
        <w:pStyle w:val="Cuerpodelboletn"/>
      </w:pPr>
    </w:p>
    <w:p w:rsidR="00EC2BC7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>El cumplimiento de las obligaciones de publicidad activa po</w:t>
      </w:r>
      <w:r>
        <w:rPr>
          <w:color w:val="000000"/>
        </w:rPr>
        <w:t>r parte del Ayuntamiento de Oviedo</w:t>
      </w:r>
      <w:r w:rsidRPr="00EC2BC7">
        <w:rPr>
          <w:color w:val="000000"/>
        </w:rPr>
        <w:t xml:space="preserve">  </w:t>
      </w:r>
      <w:r>
        <w:rPr>
          <w:color w:val="000000"/>
        </w:rPr>
        <w:t>presenta una evolución positiva</w:t>
      </w:r>
      <w:r w:rsidRPr="00EC2BC7">
        <w:rPr>
          <w:color w:val="000000"/>
        </w:rPr>
        <w:t>. Este aumento del índice de cumplimiento podría haber sido más elevado si se hubiesen adoptado</w:t>
      </w:r>
      <w:r w:rsidR="00991774">
        <w:rPr>
          <w:color w:val="000000"/>
        </w:rPr>
        <w:t xml:space="preserve"> todas</w:t>
      </w:r>
      <w:r w:rsidRPr="00EC2BC7">
        <w:rPr>
          <w:color w:val="000000"/>
        </w:rPr>
        <w:t xml:space="preserve"> las recomendaciones formuladas a consecuencia de la evaluación realizada en 2020.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9A67FC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 xml:space="preserve">A pesar de esta evolución positiva, sigue existiendo margen de mejora dado que persisten muchos de los déficits evidenciados en 2020: </w:t>
      </w:r>
    </w:p>
    <w:p w:rsidR="00DA44D8" w:rsidRDefault="00DA44D8" w:rsidP="00DA44D8">
      <w:pPr>
        <w:pStyle w:val="Prrafodelista"/>
        <w:ind w:left="780"/>
        <w:jc w:val="both"/>
        <w:rPr>
          <w:color w:val="000000"/>
        </w:rPr>
      </w:pPr>
    </w:p>
    <w:p w:rsidR="00EC2BC7" w:rsidRDefault="00EC2BC7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No se ha completado la información sobre la normativa aplicable al Ayuntamiento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DA44D8" w:rsidRDefault="000F5094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No se informa sobre </w:t>
      </w:r>
      <w:r w:rsidR="00EC2BC7">
        <w:rPr>
          <w:color w:val="000000"/>
        </w:rPr>
        <w:t xml:space="preserve">el </w:t>
      </w:r>
      <w:r>
        <w:rPr>
          <w:color w:val="000000"/>
        </w:rPr>
        <w:t xml:space="preserve">grado de cumplimiento </w:t>
      </w:r>
      <w:r w:rsidR="00EC2BC7">
        <w:rPr>
          <w:color w:val="000000"/>
        </w:rPr>
        <w:t>de los planes y programas municipales</w:t>
      </w:r>
      <w:r>
        <w:rPr>
          <w:color w:val="000000"/>
        </w:rPr>
        <w:t>.</w:t>
      </w:r>
    </w:p>
    <w:p w:rsidR="00DA44D8" w:rsidRPr="00DA44D8" w:rsidRDefault="00DA44D8" w:rsidP="00DA44D8">
      <w:pPr>
        <w:pStyle w:val="Prrafodelista"/>
        <w:rPr>
          <w:color w:val="000000"/>
        </w:rPr>
      </w:pPr>
    </w:p>
    <w:p w:rsidR="00DA44D8" w:rsidRDefault="00DA44D8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lastRenderedPageBreak/>
        <w:t>No se i</w:t>
      </w:r>
      <w:r w:rsidRPr="00DA44D8">
        <w:rPr>
          <w:color w:val="000000"/>
        </w:rPr>
        <w:t xml:space="preserve">nforma </w:t>
      </w:r>
      <w:r>
        <w:rPr>
          <w:color w:val="000000"/>
        </w:rPr>
        <w:t>sobre</w:t>
      </w:r>
      <w:r w:rsidRPr="00DA44D8">
        <w:rPr>
          <w:color w:val="000000"/>
        </w:rPr>
        <w:t xml:space="preserve"> </w:t>
      </w:r>
      <w:r w:rsidR="00EC2BC7">
        <w:rPr>
          <w:color w:val="000000"/>
        </w:rPr>
        <w:t>los proyectos de disposiciones reglamentarias y por tanto, tampoco se publican las memorias e  informes que deben acompañar a estos proyectos</w:t>
      </w:r>
      <w:r>
        <w:rPr>
          <w:color w:val="000000"/>
        </w:rPr>
        <w:t>.</w:t>
      </w:r>
    </w:p>
    <w:p w:rsidR="00D03A9D" w:rsidRPr="00D03A9D" w:rsidRDefault="00D03A9D" w:rsidP="00D03A9D">
      <w:pPr>
        <w:pStyle w:val="Prrafodelista"/>
        <w:rPr>
          <w:color w:val="000000"/>
        </w:rPr>
      </w:pPr>
    </w:p>
    <w:p w:rsidR="00D27CE1" w:rsidRDefault="00D27CE1" w:rsidP="00D03A9D">
      <w:pPr>
        <w:pStyle w:val="Prrafodelista"/>
        <w:numPr>
          <w:ilvl w:val="0"/>
          <w:numId w:val="18"/>
        </w:numPr>
        <w:jc w:val="both"/>
      </w:pPr>
      <w:r>
        <w:t>Sigue sin incluirse el plazo de duración de los convenios que es uno de los contenidos obligatorios establecido por la LTAIBG para esta obligación.</w:t>
      </w:r>
    </w:p>
    <w:p w:rsidR="0021181D" w:rsidRDefault="0021181D" w:rsidP="0021181D">
      <w:pPr>
        <w:pStyle w:val="Prrafodelista"/>
      </w:pPr>
    </w:p>
    <w:p w:rsidR="00925BF3" w:rsidRDefault="00D70E63" w:rsidP="00925BF3">
      <w:pPr>
        <w:pStyle w:val="Prrafodelista"/>
        <w:numPr>
          <w:ilvl w:val="0"/>
          <w:numId w:val="18"/>
        </w:numPr>
        <w:jc w:val="both"/>
      </w:pPr>
      <w:r>
        <w:t>Tampoco se informa sobre</w:t>
      </w:r>
      <w:r w:rsidR="00925BF3">
        <w:t xml:space="preserve"> las resoluciones que autoricen el ejercicio de actividad privada con motivo del cese de los altos cargos.</w:t>
      </w:r>
    </w:p>
    <w:p w:rsidR="000F5094" w:rsidRDefault="000F5094" w:rsidP="000F5094">
      <w:pPr>
        <w:pStyle w:val="Prrafodelista"/>
      </w:pPr>
    </w:p>
    <w:p w:rsidR="000F5094" w:rsidRDefault="000F5094" w:rsidP="00925BF3">
      <w:pPr>
        <w:pStyle w:val="Prrafodelista"/>
        <w:numPr>
          <w:ilvl w:val="0"/>
          <w:numId w:val="18"/>
        </w:numPr>
        <w:jc w:val="both"/>
      </w:pPr>
      <w:r>
        <w:t>No se informa sobre las compatibilidades concedidas a empleados municipales.</w:t>
      </w:r>
    </w:p>
    <w:p w:rsidR="00160944" w:rsidRDefault="00160944" w:rsidP="00160944">
      <w:pPr>
        <w:pStyle w:val="Prrafodelista"/>
      </w:pPr>
    </w:p>
    <w:p w:rsidR="00D27CE1" w:rsidRPr="00D27CE1" w:rsidRDefault="00D27CE1" w:rsidP="00D27CE1">
      <w:pPr>
        <w:pStyle w:val="Prrafodelista"/>
        <w:numPr>
          <w:ilvl w:val="0"/>
          <w:numId w:val="23"/>
        </w:numPr>
      </w:pPr>
      <w:r w:rsidRPr="00D27CE1">
        <w:t>En cuanto a la información a la que se accede mediante fuentes centralizadas, se recomendó</w:t>
      </w:r>
      <w:r>
        <w:t xml:space="preserve"> en 2020</w:t>
      </w:r>
      <w:r w:rsidRPr="00D27CE1">
        <w:t xml:space="preserve"> su publicación directamente en la web mediante cuadros-resumen con los contenidos de información que establece la LTAIBG y la normativa autonómica. No se ha aplicado esta recomendación. </w:t>
      </w:r>
    </w:p>
    <w:p w:rsidR="0093721C" w:rsidRDefault="0093721C" w:rsidP="0093721C">
      <w:pPr>
        <w:pStyle w:val="Prrafodelista"/>
      </w:pPr>
    </w:p>
    <w:p w:rsidR="009A67FC" w:rsidRDefault="009A67FC" w:rsidP="009A67FC">
      <w:pPr>
        <w:pStyle w:val="Prrafodelista"/>
        <w:numPr>
          <w:ilvl w:val="0"/>
          <w:numId w:val="18"/>
        </w:numPr>
        <w:jc w:val="both"/>
      </w:pPr>
      <w:r>
        <w:t xml:space="preserve">Debería publicarse en el Portal de Transparencia </w:t>
      </w:r>
      <w:r w:rsidR="00925BF3">
        <w:t xml:space="preserve">las correspondientes referencias </w:t>
      </w:r>
      <w:r>
        <w:t xml:space="preserve">a </w:t>
      </w:r>
      <w:r w:rsidR="00925BF3">
        <w:t xml:space="preserve">la </w:t>
      </w:r>
      <w:r>
        <w:t xml:space="preserve">última fecha en que se revisó o actualizó </w:t>
      </w:r>
      <w:r w:rsidR="00925BF3">
        <w:t xml:space="preserve">cada </w:t>
      </w:r>
      <w:r>
        <w:t xml:space="preserve">información. Solo de esta manera sería posible para la ciudadanía saber si la información que está consultando está vigente. </w:t>
      </w:r>
    </w:p>
    <w:p w:rsidR="00991774" w:rsidRDefault="00991774" w:rsidP="00991774">
      <w:pPr>
        <w:pStyle w:val="Prrafodelista"/>
        <w:ind w:left="780"/>
        <w:jc w:val="both"/>
      </w:pPr>
    </w:p>
    <w:p w:rsidR="00991774" w:rsidRDefault="00991774" w:rsidP="009A67FC">
      <w:pPr>
        <w:pStyle w:val="Prrafodelista"/>
        <w:numPr>
          <w:ilvl w:val="0"/>
          <w:numId w:val="18"/>
        </w:numPr>
        <w:jc w:val="both"/>
      </w:pPr>
      <w:r>
        <w:t>Debería enlazarse desde el Portal de Transparencia a todas las informaciones obligatorias que actualmente están publicadas en otros apartados de la web institucional, por ejemplo la sede electrónica.</w:t>
      </w:r>
      <w:bookmarkStart w:id="0" w:name="_GoBack"/>
      <w:bookmarkEnd w:id="0"/>
    </w:p>
    <w:p w:rsidR="009A67FC" w:rsidRDefault="009A67FC" w:rsidP="009A67FC">
      <w:pPr>
        <w:pStyle w:val="Prrafodelista"/>
      </w:pP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991774">
        <w:t>enero</w:t>
      </w:r>
      <w:r>
        <w:t xml:space="preserve"> de 202</w:t>
      </w:r>
      <w:r w:rsidR="00991774">
        <w:t>2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9C2" w:rsidRPr="00F31BC3" w:rsidRDefault="008069C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069C2" w:rsidRPr="00F31BC3" w:rsidRDefault="008069C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C2BC7" w:rsidRPr="00F31BC3" w:rsidRDefault="00EC2BC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C2" w:rsidRDefault="008069C2" w:rsidP="00F31BC3">
      <w:r>
        <w:separator/>
      </w:r>
    </w:p>
  </w:endnote>
  <w:endnote w:type="continuationSeparator" w:id="0">
    <w:p w:rsidR="008069C2" w:rsidRDefault="008069C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C2" w:rsidRDefault="008069C2" w:rsidP="00F31BC3">
      <w:r>
        <w:separator/>
      </w:r>
    </w:p>
  </w:footnote>
  <w:footnote w:type="continuationSeparator" w:id="0">
    <w:p w:rsidR="008069C2" w:rsidRDefault="008069C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20D56E6"/>
    <w:multiLevelType w:val="hybridMultilevel"/>
    <w:tmpl w:val="4726E0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730B"/>
    <w:multiLevelType w:val="hybridMultilevel"/>
    <w:tmpl w:val="17D8FC1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6"/>
  </w:num>
  <w:num w:numId="14">
    <w:abstractNumId w:val="21"/>
  </w:num>
  <w:num w:numId="15">
    <w:abstractNumId w:val="3"/>
  </w:num>
  <w:num w:numId="16">
    <w:abstractNumId w:val="22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29A"/>
    <w:rsid w:val="00006957"/>
    <w:rsid w:val="00011946"/>
    <w:rsid w:val="00032D8A"/>
    <w:rsid w:val="00045369"/>
    <w:rsid w:val="00052BB4"/>
    <w:rsid w:val="00053A0E"/>
    <w:rsid w:val="0005642F"/>
    <w:rsid w:val="00072B7E"/>
    <w:rsid w:val="000775A5"/>
    <w:rsid w:val="000A77F5"/>
    <w:rsid w:val="000D3907"/>
    <w:rsid w:val="000D5417"/>
    <w:rsid w:val="000E0A9E"/>
    <w:rsid w:val="000E5A95"/>
    <w:rsid w:val="000F5094"/>
    <w:rsid w:val="00104DE9"/>
    <w:rsid w:val="00104E94"/>
    <w:rsid w:val="001149B1"/>
    <w:rsid w:val="00117F27"/>
    <w:rsid w:val="00132732"/>
    <w:rsid w:val="00137166"/>
    <w:rsid w:val="00146C3C"/>
    <w:rsid w:val="00160944"/>
    <w:rsid w:val="00164876"/>
    <w:rsid w:val="001763F8"/>
    <w:rsid w:val="00183301"/>
    <w:rsid w:val="00187CDD"/>
    <w:rsid w:val="0019448F"/>
    <w:rsid w:val="001A0DA8"/>
    <w:rsid w:val="001A4E12"/>
    <w:rsid w:val="001A5305"/>
    <w:rsid w:val="001C3E2F"/>
    <w:rsid w:val="001C4509"/>
    <w:rsid w:val="001C7C78"/>
    <w:rsid w:val="001C7D84"/>
    <w:rsid w:val="001E5AAD"/>
    <w:rsid w:val="0021181D"/>
    <w:rsid w:val="0021682B"/>
    <w:rsid w:val="00231D61"/>
    <w:rsid w:val="00243294"/>
    <w:rsid w:val="00244EDA"/>
    <w:rsid w:val="002451AF"/>
    <w:rsid w:val="002467FA"/>
    <w:rsid w:val="00247F0C"/>
    <w:rsid w:val="00263F79"/>
    <w:rsid w:val="00271F20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B6CA2"/>
    <w:rsid w:val="003C055B"/>
    <w:rsid w:val="003D2A34"/>
    <w:rsid w:val="003D2C4A"/>
    <w:rsid w:val="003E305F"/>
    <w:rsid w:val="003E564B"/>
    <w:rsid w:val="003E5D2F"/>
    <w:rsid w:val="003F6EDC"/>
    <w:rsid w:val="00405BF4"/>
    <w:rsid w:val="00415DBD"/>
    <w:rsid w:val="00420A46"/>
    <w:rsid w:val="00422B18"/>
    <w:rsid w:val="0044623D"/>
    <w:rsid w:val="00452325"/>
    <w:rsid w:val="004720A5"/>
    <w:rsid w:val="0047735C"/>
    <w:rsid w:val="004859CC"/>
    <w:rsid w:val="00492635"/>
    <w:rsid w:val="00493C09"/>
    <w:rsid w:val="004A1663"/>
    <w:rsid w:val="004B3C57"/>
    <w:rsid w:val="004C1593"/>
    <w:rsid w:val="004C6440"/>
    <w:rsid w:val="004D50CC"/>
    <w:rsid w:val="004D7037"/>
    <w:rsid w:val="004E0083"/>
    <w:rsid w:val="004E7B33"/>
    <w:rsid w:val="00506864"/>
    <w:rsid w:val="005301DF"/>
    <w:rsid w:val="00536832"/>
    <w:rsid w:val="00563295"/>
    <w:rsid w:val="005B1544"/>
    <w:rsid w:val="005C4778"/>
    <w:rsid w:val="005E2505"/>
    <w:rsid w:val="005E6704"/>
    <w:rsid w:val="00603DFC"/>
    <w:rsid w:val="006241AE"/>
    <w:rsid w:val="00630C36"/>
    <w:rsid w:val="00633EAA"/>
    <w:rsid w:val="00641C15"/>
    <w:rsid w:val="00661964"/>
    <w:rsid w:val="00685B59"/>
    <w:rsid w:val="0069673B"/>
    <w:rsid w:val="006B75D8"/>
    <w:rsid w:val="006C0CDD"/>
    <w:rsid w:val="006D49E7"/>
    <w:rsid w:val="006D4C90"/>
    <w:rsid w:val="006E75DE"/>
    <w:rsid w:val="007071A8"/>
    <w:rsid w:val="00707C14"/>
    <w:rsid w:val="00711FAD"/>
    <w:rsid w:val="00714C54"/>
    <w:rsid w:val="00717272"/>
    <w:rsid w:val="0073626B"/>
    <w:rsid w:val="007407C6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B2613"/>
    <w:rsid w:val="007C58D1"/>
    <w:rsid w:val="007D1701"/>
    <w:rsid w:val="007D5CBF"/>
    <w:rsid w:val="007D674D"/>
    <w:rsid w:val="007D69D9"/>
    <w:rsid w:val="007F1D56"/>
    <w:rsid w:val="007F5F9D"/>
    <w:rsid w:val="00803D20"/>
    <w:rsid w:val="008069C2"/>
    <w:rsid w:val="00807435"/>
    <w:rsid w:val="00807495"/>
    <w:rsid w:val="00807DDF"/>
    <w:rsid w:val="00821526"/>
    <w:rsid w:val="0082470D"/>
    <w:rsid w:val="00825ACB"/>
    <w:rsid w:val="008416B8"/>
    <w:rsid w:val="00876480"/>
    <w:rsid w:val="00882A5B"/>
    <w:rsid w:val="00891E6F"/>
    <w:rsid w:val="00894358"/>
    <w:rsid w:val="0089455A"/>
    <w:rsid w:val="00897D04"/>
    <w:rsid w:val="008A5AAE"/>
    <w:rsid w:val="008D3BDC"/>
    <w:rsid w:val="00902A71"/>
    <w:rsid w:val="009039FD"/>
    <w:rsid w:val="00903FE0"/>
    <w:rsid w:val="00912DB4"/>
    <w:rsid w:val="009139A7"/>
    <w:rsid w:val="00925709"/>
    <w:rsid w:val="00925BF3"/>
    <w:rsid w:val="0093721C"/>
    <w:rsid w:val="00960001"/>
    <w:rsid w:val="009654DA"/>
    <w:rsid w:val="00965C69"/>
    <w:rsid w:val="00972910"/>
    <w:rsid w:val="00982299"/>
    <w:rsid w:val="00991774"/>
    <w:rsid w:val="0099459D"/>
    <w:rsid w:val="009A03A4"/>
    <w:rsid w:val="009A67F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E2C"/>
    <w:rsid w:val="00A03993"/>
    <w:rsid w:val="00A0626F"/>
    <w:rsid w:val="00A1361E"/>
    <w:rsid w:val="00A24E51"/>
    <w:rsid w:val="00A51AAD"/>
    <w:rsid w:val="00A82709"/>
    <w:rsid w:val="00A90C45"/>
    <w:rsid w:val="00AA0AE1"/>
    <w:rsid w:val="00AC2723"/>
    <w:rsid w:val="00AC4A48"/>
    <w:rsid w:val="00AC4A6F"/>
    <w:rsid w:val="00AC505F"/>
    <w:rsid w:val="00AC65BC"/>
    <w:rsid w:val="00AD193E"/>
    <w:rsid w:val="00AD439D"/>
    <w:rsid w:val="00AD4F86"/>
    <w:rsid w:val="00AD6065"/>
    <w:rsid w:val="00AE4F68"/>
    <w:rsid w:val="00AE6A4F"/>
    <w:rsid w:val="00AF5151"/>
    <w:rsid w:val="00B1184C"/>
    <w:rsid w:val="00B220EC"/>
    <w:rsid w:val="00B33A2F"/>
    <w:rsid w:val="00B5314A"/>
    <w:rsid w:val="00B56A3A"/>
    <w:rsid w:val="00B77C12"/>
    <w:rsid w:val="00B853D9"/>
    <w:rsid w:val="00B85EA1"/>
    <w:rsid w:val="00B87734"/>
    <w:rsid w:val="00BA03C4"/>
    <w:rsid w:val="00BA14E6"/>
    <w:rsid w:val="00BA3611"/>
    <w:rsid w:val="00BC61D1"/>
    <w:rsid w:val="00BD18E4"/>
    <w:rsid w:val="00BD1E44"/>
    <w:rsid w:val="00BD2172"/>
    <w:rsid w:val="00BD2842"/>
    <w:rsid w:val="00BF0241"/>
    <w:rsid w:val="00BF0E16"/>
    <w:rsid w:val="00C02953"/>
    <w:rsid w:val="00C02D3B"/>
    <w:rsid w:val="00C05A9F"/>
    <w:rsid w:val="00C1290B"/>
    <w:rsid w:val="00C213EC"/>
    <w:rsid w:val="00C24010"/>
    <w:rsid w:val="00C259F4"/>
    <w:rsid w:val="00C27705"/>
    <w:rsid w:val="00C3228C"/>
    <w:rsid w:val="00C4050E"/>
    <w:rsid w:val="00C41A3F"/>
    <w:rsid w:val="00C4430D"/>
    <w:rsid w:val="00C451D3"/>
    <w:rsid w:val="00C54D21"/>
    <w:rsid w:val="00C555C6"/>
    <w:rsid w:val="00C61119"/>
    <w:rsid w:val="00C61E7F"/>
    <w:rsid w:val="00C66E73"/>
    <w:rsid w:val="00C91330"/>
    <w:rsid w:val="00CA4C18"/>
    <w:rsid w:val="00CC48E8"/>
    <w:rsid w:val="00CC60B0"/>
    <w:rsid w:val="00CD3DE8"/>
    <w:rsid w:val="00CE489F"/>
    <w:rsid w:val="00CF17EF"/>
    <w:rsid w:val="00CF21EB"/>
    <w:rsid w:val="00D014E1"/>
    <w:rsid w:val="00D01CA1"/>
    <w:rsid w:val="00D03A9D"/>
    <w:rsid w:val="00D12B6E"/>
    <w:rsid w:val="00D1453D"/>
    <w:rsid w:val="00D27CE1"/>
    <w:rsid w:val="00D41F4C"/>
    <w:rsid w:val="00D520C8"/>
    <w:rsid w:val="00D70570"/>
    <w:rsid w:val="00D70E63"/>
    <w:rsid w:val="00D71587"/>
    <w:rsid w:val="00D87529"/>
    <w:rsid w:val="00D96084"/>
    <w:rsid w:val="00DA44D8"/>
    <w:rsid w:val="00DA6660"/>
    <w:rsid w:val="00DC0AAC"/>
    <w:rsid w:val="00DC5B52"/>
    <w:rsid w:val="00DD515F"/>
    <w:rsid w:val="00DF25D7"/>
    <w:rsid w:val="00DF50DC"/>
    <w:rsid w:val="00DF555F"/>
    <w:rsid w:val="00E023B5"/>
    <w:rsid w:val="00E02FE5"/>
    <w:rsid w:val="00E133E0"/>
    <w:rsid w:val="00E17DF6"/>
    <w:rsid w:val="00E33169"/>
    <w:rsid w:val="00E51AC4"/>
    <w:rsid w:val="00E6528C"/>
    <w:rsid w:val="00E73F4D"/>
    <w:rsid w:val="00E77D81"/>
    <w:rsid w:val="00E810E7"/>
    <w:rsid w:val="00EC2BC7"/>
    <w:rsid w:val="00EC3D69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6C49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D42DF"/>
    <w:rsid w:val="004429F1"/>
    <w:rsid w:val="0049353B"/>
    <w:rsid w:val="00583D19"/>
    <w:rsid w:val="005E1775"/>
    <w:rsid w:val="006674FD"/>
    <w:rsid w:val="00787EBD"/>
    <w:rsid w:val="00827704"/>
    <w:rsid w:val="00837882"/>
    <w:rsid w:val="0084656B"/>
    <w:rsid w:val="00861D94"/>
    <w:rsid w:val="008E118A"/>
    <w:rsid w:val="00AB484A"/>
    <w:rsid w:val="00C32372"/>
    <w:rsid w:val="00D30955"/>
    <w:rsid w:val="00DE3DE6"/>
    <w:rsid w:val="00E34F40"/>
    <w:rsid w:val="00E83883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556FB-00BE-4224-8408-39B59FCF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5</Pages>
  <Words>1106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2022-01-13T10:49:00Z</dcterms:created>
  <dcterms:modified xsi:type="dcterms:W3CDTF">2022-01-13T11:25:00Z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