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243205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BB036F" w:rsidRPr="00006957" w:rsidRDefault="00BB036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0dH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BB036F" w:rsidRPr="00006957" w:rsidRDefault="00BB036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036F" w:rsidRDefault="00BB036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B036F" w:rsidRDefault="00BB036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30A02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>COOPERATIVA AGRICOLA VINICOLA EXTREMEÑA SAN JOSE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02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513DC">
              <w:rPr>
                <w:sz w:val="24"/>
                <w:szCs w:val="24"/>
              </w:rPr>
              <w:t xml:space="preserve"> de septiembre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78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787C38">
              <w:rPr>
                <w:sz w:val="24"/>
                <w:szCs w:val="24"/>
              </w:rPr>
              <w:t>ttps://bodegascave.com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A211B">
        <w:tc>
          <w:tcPr>
            <w:tcW w:w="1760" w:type="dxa"/>
            <w:shd w:val="clear" w:color="auto" w:fill="4D7F52"/>
          </w:tcPr>
          <w:p w:rsidR="00C43711" w:rsidRPr="00F14DA4" w:rsidRDefault="00C43711" w:rsidP="00EA21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A21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A211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A211B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A211B">
        <w:tc>
          <w:tcPr>
            <w:tcW w:w="1760" w:type="dxa"/>
          </w:tcPr>
          <w:p w:rsidR="002A3BD9" w:rsidRDefault="002A3BD9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A21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A211B">
        <w:tc>
          <w:tcPr>
            <w:tcW w:w="1760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A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A211B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A211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A211B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C6A4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1C3BFA" w:rsidRDefault="00CB5511" w:rsidP="002513DC">
            <w:pPr>
              <w:spacing w:before="660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8940DC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1C3BFA" w:rsidP="002513DC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que ha sido posible localizar se encuentra en el acceso “Nosotros”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1C3BFA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C3BFA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C3BFA" w:rsidRPr="00E34195" w:rsidRDefault="001C3BFA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Pr="00CB5511" w:rsidRDefault="001C3BFA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Pr="00CB5511" w:rsidRDefault="001C3BF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Default="001C3BFA">
            <w:r w:rsidRPr="008F7E1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C3BFA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C3BFA" w:rsidRPr="00E34195" w:rsidRDefault="001C3BFA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Pr="00CB5511" w:rsidRDefault="001C3BFA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Pr="00CB5511" w:rsidRDefault="001C3BFA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3BFA" w:rsidRDefault="001C3BFA">
            <w:r w:rsidRPr="008F7E1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A2439">
            <w:pPr>
              <w:pStyle w:val="Cuerpodelboletn"/>
              <w:spacing w:before="4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C3BFA" w:rsidP="00EA211B">
            <w:pPr>
              <w:pStyle w:val="Cuerpodelboletn"/>
              <w:spacing w:before="440"/>
              <w:rPr>
                <w:rStyle w:val="Ttulo2Car"/>
                <w:sz w:val="20"/>
                <w:szCs w:val="20"/>
                <w:lang w:bidi="es-ES"/>
              </w:rPr>
            </w:pPr>
            <w:r w:rsidRPr="008F7E1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C3BF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6A2439" w:rsidP="006A2439">
            <w:pPr>
              <w:pStyle w:val="Cuerpodelboletn"/>
              <w:spacing w:before="24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6626E">
            <w:pPr>
              <w:pStyle w:val="Cuerpodelboletn"/>
              <w:spacing w:before="24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C3BFA" w:rsidP="00E6626E">
            <w:pPr>
              <w:pStyle w:val="Cuerpodelboletn"/>
              <w:spacing w:before="540"/>
              <w:rPr>
                <w:rStyle w:val="Ttulo2Car"/>
                <w:sz w:val="20"/>
                <w:szCs w:val="20"/>
                <w:lang w:bidi="es-ES"/>
              </w:rPr>
            </w:pPr>
            <w:r w:rsidRPr="00AA6C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36F" w:rsidRDefault="00BB036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B036F" w:rsidRPr="00ED29AA" w:rsidRDefault="00BB036F" w:rsidP="001C3BFA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BB036F" w:rsidRDefault="00BB036F" w:rsidP="001C3BF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BB036F" w:rsidRDefault="00BB036F" w:rsidP="001C3BF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informa sobre su estructura organizativa </w:t>
                            </w:r>
                          </w:p>
                          <w:p w:rsidR="00BB036F" w:rsidRDefault="00BB036F" w:rsidP="001C3BF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BB036F" w:rsidRDefault="00BB036F" w:rsidP="001C3BFA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BB036F" w:rsidRPr="002301DB" w:rsidRDefault="00BB036F" w:rsidP="001C3BFA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036F" w:rsidRDefault="00BB036F" w:rsidP="001C3BF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B036F" w:rsidRDefault="00BB036F" w:rsidP="001C3BFA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BB036F" w:rsidRPr="00BD4582" w:rsidRDefault="00BB036F" w:rsidP="001C3BFA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B036F" w:rsidRDefault="00BB036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B036F" w:rsidRPr="00ED29AA" w:rsidRDefault="00BB036F" w:rsidP="001C3BFA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BB036F" w:rsidRDefault="00BB036F" w:rsidP="001C3BF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BB036F" w:rsidRDefault="00BB036F" w:rsidP="001C3BF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informa sobre su estructura organizativa </w:t>
                      </w:r>
                    </w:p>
                    <w:p w:rsidR="00BB036F" w:rsidRDefault="00BB036F" w:rsidP="001C3BF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BB036F" w:rsidRDefault="00BB036F" w:rsidP="001C3BFA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2301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BB036F" w:rsidRPr="002301DB" w:rsidRDefault="00BB036F" w:rsidP="001C3BFA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B036F" w:rsidRDefault="00BB036F" w:rsidP="001C3BF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B036F" w:rsidRDefault="00BB036F" w:rsidP="001C3BFA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BB036F" w:rsidRPr="00BD4582" w:rsidRDefault="00BB036F" w:rsidP="001C3BFA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30C9F" w:rsidRPr="00E34195" w:rsidTr="008940DC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30C9F" w:rsidRPr="00E34195" w:rsidRDefault="00930C9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0C9F" w:rsidRPr="00E34195" w:rsidRDefault="00930C9F" w:rsidP="008940DC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30C9F" w:rsidRPr="00E34195" w:rsidRDefault="00930C9F" w:rsidP="001C3BFA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0C9F" w:rsidRPr="00E34195" w:rsidRDefault="00930C9F" w:rsidP="008940D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B036F" w:rsidRPr="00CB5511" w:rsidTr="00BB036F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Pr="00E34195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F47CA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B036F" w:rsidRPr="00E34195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F47CA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Pr="00E34195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F47CA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4171B3" w:rsidRPr="00CB5511" w:rsidTr="00BB03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4171B3" w:rsidRDefault="004171B3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171B3" w:rsidRDefault="004171B3" w:rsidP="001C3BFA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171B3" w:rsidRPr="00CB5511" w:rsidRDefault="008940DC" w:rsidP="008940DC">
            <w:pPr>
              <w:pStyle w:val="Cuerpodelboletn"/>
              <w:spacing w:before="6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4171B3" w:rsidRPr="00CB5511" w:rsidRDefault="00BB036F" w:rsidP="00BB036F">
            <w:pPr>
              <w:pStyle w:val="Cuerpodelboletn"/>
              <w:spacing w:before="120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la parte media de la página home. </w:t>
            </w:r>
            <w:r w:rsidR="004171B3" w:rsidRPr="007470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</w:t>
            </w:r>
            <w:r w:rsidR="004171B3" w:rsidRPr="007470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tres</w:t>
            </w:r>
            <w:r w:rsidR="004171B3" w:rsidRPr="007470B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subvenciones. Para otras dos actividades no se indica la cuantía de la subvención</w:t>
            </w:r>
            <w:r w:rsidR="004171B3">
              <w:rPr>
                <w:rStyle w:val="Ttulo2Car"/>
                <w:sz w:val="20"/>
                <w:szCs w:val="20"/>
                <w:lang w:bidi="es-ES"/>
              </w:rPr>
              <w:t>.</w:t>
            </w:r>
          </w:p>
        </w:tc>
      </w:tr>
      <w:tr w:rsidR="00BB036F" w:rsidRPr="00CB5511" w:rsidTr="00BB036F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5B39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5B39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5B39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B036F" w:rsidRPr="00CB5511" w:rsidTr="00BB036F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B036F" w:rsidRDefault="00BB036F" w:rsidP="001C3BF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Default="00BB036F" w:rsidP="001C3BFA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B036F" w:rsidRPr="00CB5511" w:rsidRDefault="00BB036F" w:rsidP="001C3BF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B036F" w:rsidRDefault="00BB036F" w:rsidP="00BB036F">
            <w:r w:rsidRPr="005B396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930C9F" w:rsidRDefault="00930C9F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707881">
      <w:pPr>
        <w:pStyle w:val="Cuerpodelboletn"/>
        <w:spacing w:before="120" w:after="120" w:line="312" w:lineRule="auto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36F" w:rsidRDefault="00BB036F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B036F" w:rsidRPr="00BB036F" w:rsidRDefault="00BB036F" w:rsidP="00BB036F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de la LTAIBG.</w:t>
                            </w:r>
                          </w:p>
                          <w:p w:rsidR="00BB036F" w:rsidRPr="00BB036F" w:rsidRDefault="00BB036F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contratos adjudicados por administraciones públicas.</w:t>
                            </w:r>
                          </w:p>
                          <w:p w:rsidR="00BB036F" w:rsidRPr="00BB036F" w:rsidRDefault="00BB036F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:rsidR="00BB036F" w:rsidRPr="00BB036F" w:rsidRDefault="00BF1400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</w:t>
                            </w:r>
                            <w:r w:rsidR="00BB036F"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las subvenciones y ayudas públicas percibidas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está incompleta</w:t>
                            </w:r>
                          </w:p>
                          <w:p w:rsidR="00BB036F" w:rsidRDefault="00BB036F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el presupuesto</w:t>
                            </w:r>
                          </w:p>
                          <w:p w:rsidR="00BF1400" w:rsidRPr="00BB036F" w:rsidRDefault="00BF1400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cuentas anuales</w:t>
                            </w:r>
                          </w:p>
                          <w:p w:rsidR="00BB036F" w:rsidRPr="00BB036F" w:rsidRDefault="00BB036F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BB036F" w:rsidRPr="00BB036F" w:rsidRDefault="00BB036F" w:rsidP="00BB036F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BB036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No se informa sobre las retribuciones percibidas por los máximos responsables</w:t>
                            </w:r>
                          </w:p>
                          <w:p w:rsidR="00BB036F" w:rsidRPr="00BB036F" w:rsidRDefault="00BB036F" w:rsidP="00BB036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B03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B036F" w:rsidRPr="00BB036F" w:rsidRDefault="00BB036F" w:rsidP="00BB036F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BB036F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BB036F" w:rsidRDefault="00BB036F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B036F" w:rsidRDefault="00BB036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B036F" w:rsidRPr="00BB036F" w:rsidRDefault="00BB036F" w:rsidP="00BB036F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8 de la LTAIBG.</w:t>
                      </w:r>
                    </w:p>
                    <w:p w:rsidR="00BB036F" w:rsidRPr="00BB036F" w:rsidRDefault="00BB036F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contratos adjudicados por administraciones públicas.</w:t>
                      </w:r>
                    </w:p>
                    <w:p w:rsidR="00BB036F" w:rsidRPr="00BB036F" w:rsidRDefault="00BB036F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:rsidR="00BB036F" w:rsidRPr="00BB036F" w:rsidRDefault="00BF1400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</w:t>
                      </w:r>
                      <w:r w:rsidR="00BB036F"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las subvenciones y ayudas públicas percibidas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está incompleta</w:t>
                      </w:r>
                    </w:p>
                    <w:p w:rsidR="00BB036F" w:rsidRDefault="00BB036F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el presupuesto</w:t>
                      </w:r>
                    </w:p>
                    <w:p w:rsidR="00BF1400" w:rsidRPr="00BB036F" w:rsidRDefault="00BF1400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cuentas anuales</w:t>
                      </w:r>
                    </w:p>
                    <w:p w:rsidR="00BB036F" w:rsidRPr="00BB036F" w:rsidRDefault="00BB036F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BB036F" w:rsidRPr="00BB036F" w:rsidRDefault="00BB036F" w:rsidP="00BB036F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BB036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No se informa sobre las retribuciones percibidas por los máximos responsables</w:t>
                      </w:r>
                    </w:p>
                    <w:p w:rsidR="00BB036F" w:rsidRPr="00BB036F" w:rsidRDefault="00BB036F" w:rsidP="00BB036F">
                      <w:pPr>
                        <w:rPr>
                          <w:b/>
                          <w:color w:val="00642D"/>
                        </w:rPr>
                      </w:pPr>
                      <w:r w:rsidRPr="00BB03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B036F" w:rsidRPr="00BB036F" w:rsidRDefault="00BB036F" w:rsidP="00BB036F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BB036F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BB036F" w:rsidRDefault="00BB036F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F1400" w:rsidRDefault="00BF1400">
      <w:pPr>
        <w:rPr>
          <w:b/>
          <w:color w:val="50866C"/>
          <w:sz w:val="32"/>
        </w:rPr>
      </w:pPr>
    </w:p>
    <w:p w:rsidR="00BF1400" w:rsidRDefault="00BF1400">
      <w:pPr>
        <w:rPr>
          <w:b/>
          <w:color w:val="50866C"/>
          <w:sz w:val="32"/>
        </w:rPr>
      </w:pPr>
    </w:p>
    <w:p w:rsidR="00BF1400" w:rsidRDefault="00BF1400">
      <w:pPr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B036F" w:rsidRPr="00FD0689" w:rsidTr="00BB0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B036F" w:rsidRPr="00FD0689" w:rsidRDefault="00BB036F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84">
              <w:t>33,3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84">
              <w:t>33,3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84">
              <w:t>33,3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84">
              <w:t>33,3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84">
              <w:t>33,3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84">
              <w:t>33,3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84">
              <w:t>8,3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84">
              <w:t>29,8</w:t>
            </w:r>
          </w:p>
        </w:tc>
      </w:tr>
      <w:tr w:rsidR="00BB036F" w:rsidRPr="00FD0689" w:rsidTr="00BB036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B036F" w:rsidRPr="00FD0689" w:rsidRDefault="00BB036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84">
              <w:t>12,5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84">
              <w:t>12,5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84">
              <w:t>12,5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84">
              <w:t>12,5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84">
              <w:t>12,5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84">
              <w:t>12,5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84">
              <w:t>12,5</w:t>
            </w:r>
          </w:p>
        </w:tc>
        <w:tc>
          <w:tcPr>
            <w:tcW w:w="0" w:type="auto"/>
            <w:noWrap/>
            <w:vAlign w:val="center"/>
          </w:tcPr>
          <w:p w:rsidR="00BB036F" w:rsidRPr="00D33384" w:rsidRDefault="00BB036F" w:rsidP="00BB0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84">
              <w:t>12,5</w:t>
            </w:r>
          </w:p>
        </w:tc>
      </w:tr>
      <w:tr w:rsidR="00BB036F" w:rsidRPr="00A94BCA" w:rsidTr="00BB0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B036F" w:rsidRPr="002A154B" w:rsidRDefault="00BB036F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B036F" w:rsidRPr="00BB036F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B036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B036F" w:rsidRPr="00BB036F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B036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B036F" w:rsidRPr="00BB036F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B036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B036F" w:rsidRPr="00BB036F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B036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B036F" w:rsidRPr="00BB036F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B036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B036F" w:rsidRPr="00BB036F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B036F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BB036F" w:rsidRPr="00BB036F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B036F">
              <w:rPr>
                <w:b/>
                <w:i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BB036F" w:rsidRPr="00BB036F" w:rsidRDefault="00BB036F" w:rsidP="00BB0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B036F">
              <w:rPr>
                <w:b/>
                <w:i/>
              </w:rPr>
              <w:t>19,9</w:t>
            </w:r>
          </w:p>
        </w:tc>
      </w:tr>
    </w:tbl>
    <w:p w:rsidR="00BF1400" w:rsidRDefault="00BF1400" w:rsidP="00BF1400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BF1400" w:rsidRPr="00BF1400" w:rsidRDefault="00BF1400" w:rsidP="00BF1400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19,9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21,4</w:t>
      </w:r>
      <w:r w:rsidRPr="00BF1400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36F" w:rsidRDefault="00BB036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B036F" w:rsidRDefault="00BF140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CAVE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no </w:t>
                            </w:r>
                            <w:proofErr w:type="gramStart"/>
                            <w:r w:rsidRPr="00BF1400">
                              <w:rPr>
                                <w:rFonts w:eastAsia="Times New Roman" w:cs="Times New Roman"/>
                              </w:rPr>
                              <w:t>publica</w:t>
                            </w:r>
                            <w:proofErr w:type="gramEnd"/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informaciones adicionales a las obligatorias que pueden considerarse relevantes desde el punto de vista de la Transparencia de la organización.</w:t>
                            </w:r>
                          </w:p>
                          <w:p w:rsidR="00BB036F" w:rsidRPr="002A154B" w:rsidRDefault="00BB036F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BB036F" w:rsidRDefault="00BB036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B036F" w:rsidRDefault="00BF1400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CAVE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no </w:t>
                      </w:r>
                      <w:proofErr w:type="gramStart"/>
                      <w:r w:rsidRPr="00BF1400">
                        <w:rPr>
                          <w:rFonts w:eastAsia="Times New Roman" w:cs="Times New Roman"/>
                        </w:rPr>
                        <w:t>publica</w:t>
                      </w:r>
                      <w:proofErr w:type="gramEnd"/>
                      <w:r w:rsidRPr="00BF1400">
                        <w:rPr>
                          <w:rFonts w:eastAsia="Times New Roman" w:cs="Times New Roman"/>
                        </w:rPr>
                        <w:t xml:space="preserve"> informaciones adicionales a las obligatorias que pueden considerarse relevantes desde el punto de vista de la Transparencia de la organización.</w:t>
                      </w:r>
                    </w:p>
                    <w:p w:rsidR="00BB036F" w:rsidRPr="002A154B" w:rsidRDefault="00BB036F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36F" w:rsidRDefault="00BB036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B036F" w:rsidRPr="00BF1400" w:rsidRDefault="00BF1400" w:rsidP="002A154B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CAVE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ácticas.</w:t>
                            </w:r>
                          </w:p>
                          <w:p w:rsidR="00BB036F" w:rsidRPr="002A154B" w:rsidRDefault="00BB036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BB036F" w:rsidRDefault="00BB036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B036F" w:rsidRPr="00BF1400" w:rsidRDefault="00BF1400" w:rsidP="002A154B">
                      <w:pPr>
                        <w:rPr>
                          <w:rFonts w:eastAsia="Times New Roman" w:cs="Times New Roman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CAVE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ácticas.</w:t>
                      </w:r>
                    </w:p>
                    <w:p w:rsidR="00BB036F" w:rsidRPr="002A154B" w:rsidRDefault="00BB036F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CAVE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19,9</w:t>
      </w:r>
      <w:r w:rsidRPr="00BF1400">
        <w:rPr>
          <w:rFonts w:eastAsia="Times New Roman" w:cs="Arial"/>
        </w:rPr>
        <w:t xml:space="preserve">%. 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AF1279">
        <w:rPr>
          <w:rFonts w:eastAsia="Times New Roman" w:cs="Arial"/>
        </w:rPr>
        <w:t>CAVE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BF1400" w:rsidRPr="00BF1400" w:rsidRDefault="00BF1400" w:rsidP="00BF1400">
      <w:pPr>
        <w:spacing w:before="120" w:after="120" w:line="312" w:lineRule="auto"/>
        <w:jc w:val="both"/>
      </w:pPr>
      <w:r>
        <w:rPr>
          <w:rFonts w:cs="Calibri"/>
          <w:color w:val="000000"/>
        </w:rPr>
        <w:t>CAVE</w:t>
      </w:r>
      <w:r w:rsidRPr="00BF1400">
        <w:rPr>
          <w:rFonts w:cs="Calibri"/>
          <w:color w:val="000000"/>
        </w:rPr>
        <w:t xml:space="preserve"> </w:t>
      </w:r>
      <w:r w:rsidRPr="00BF1400">
        <w:t>debería habilitar un Portal de Transparencia que se recomienda se estructure conforme al patrón que establece la LTAIBG: Información Institucional y Organizativa;  e Información Económica y Presupuestaria.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F1400" w:rsidRPr="00BF1400" w:rsidRDefault="00BF1400" w:rsidP="00BF140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21D8E" w:rsidRDefault="00121D8E" w:rsidP="00BF140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lastRenderedPageBreak/>
        <w:t>Incorporación de información</w:t>
      </w: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BF1400" w:rsidRPr="00BF1400" w:rsidRDefault="00BF1400" w:rsidP="00BF140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cooperativa</w:t>
      </w:r>
    </w:p>
    <w:p w:rsidR="00BF1400" w:rsidRPr="00BF1400" w:rsidRDefault="00BF1400" w:rsidP="00BF140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Theme="minorHAnsi" w:cs="Arial"/>
          <w:szCs w:val="24"/>
          <w:lang w:eastAsia="en-US" w:bidi="es-ES"/>
        </w:rPr>
        <w:t>CAVE.</w:t>
      </w:r>
    </w:p>
    <w:p w:rsidR="00BF1400" w:rsidRPr="00BF1400" w:rsidRDefault="00BF1400" w:rsidP="00BF140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BF1400" w:rsidRP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BF1400" w:rsidRP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completarse la información sobre subvenciones y ayudas públicas </w:t>
      </w:r>
      <w:proofErr w:type="spellStart"/>
      <w:r>
        <w:rPr>
          <w:rFonts w:eastAsia="Times New Roman" w:cs="Arial"/>
          <w:bCs/>
          <w:szCs w:val="36"/>
        </w:rPr>
        <w:t>peercibidas</w:t>
      </w:r>
      <w:proofErr w:type="spellEnd"/>
      <w:r>
        <w:rPr>
          <w:rFonts w:eastAsia="Times New Roman" w:cs="Arial"/>
          <w:bCs/>
          <w:szCs w:val="36"/>
        </w:rPr>
        <w:t>.</w:t>
      </w:r>
    </w:p>
    <w:p w:rsidR="00BF1400" w:rsidRP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BF1400" w:rsidRP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BF1400" w:rsidRPr="00BF1400" w:rsidRDefault="00BF1400" w:rsidP="00BF1400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BF1400" w:rsidRPr="00BF1400" w:rsidRDefault="00BF1400" w:rsidP="00BF1400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BF1400" w:rsidRPr="00BF1400" w:rsidRDefault="00BF1400" w:rsidP="00BF1400">
      <w:pPr>
        <w:rPr>
          <w:rFonts w:cs="Arial"/>
          <w:bCs/>
        </w:rPr>
      </w:pPr>
    </w:p>
    <w:p w:rsidR="00BF1400" w:rsidRPr="00BF1400" w:rsidRDefault="00BF1400" w:rsidP="00BF140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BF1400" w:rsidRPr="00BF1400" w:rsidRDefault="00BF1400" w:rsidP="00BF140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BF1400" w:rsidRPr="00BF1400" w:rsidRDefault="00BF1400" w:rsidP="00BF140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BF1400" w:rsidRPr="00BF1400" w:rsidRDefault="00BF1400" w:rsidP="00BF1400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BF1400" w:rsidRPr="00BF1400" w:rsidRDefault="00BF1400" w:rsidP="00BF140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BF1400" w:rsidRPr="00BF1400" w:rsidRDefault="00BF1400" w:rsidP="00BF140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40246" w:rsidRDefault="00BF1400" w:rsidP="00BF1400">
      <w:r w:rsidRPr="00BF1400">
        <w:rPr>
          <w:rFonts w:cs="Arial"/>
        </w:rPr>
        <w:t>Madrid, octubre de 2021</w:t>
      </w:r>
    </w:p>
    <w:p w:rsidR="00121C30" w:rsidRDefault="00121C30">
      <w:r>
        <w:br w:type="page"/>
      </w:r>
    </w:p>
    <w:p w:rsidR="00121C30" w:rsidRPr="00121C30" w:rsidRDefault="007C6A4F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A211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A211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A211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A21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A211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A211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A211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A211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A211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A211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A211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A211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A21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A211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A211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A211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A21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A211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A211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A211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A211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A211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A21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A21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A211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A211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A211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6F" w:rsidRDefault="00BB036F" w:rsidP="00932008">
      <w:pPr>
        <w:spacing w:after="0" w:line="240" w:lineRule="auto"/>
      </w:pPr>
      <w:r>
        <w:separator/>
      </w:r>
    </w:p>
  </w:endnote>
  <w:endnote w:type="continuationSeparator" w:id="0">
    <w:p w:rsidR="00BB036F" w:rsidRDefault="00BB036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6F" w:rsidRDefault="00BB03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6F" w:rsidRDefault="00BB036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6F" w:rsidRDefault="00BB03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6F" w:rsidRDefault="00BB036F" w:rsidP="00932008">
      <w:pPr>
        <w:spacing w:after="0" w:line="240" w:lineRule="auto"/>
      </w:pPr>
      <w:r>
        <w:separator/>
      </w:r>
    </w:p>
  </w:footnote>
  <w:footnote w:type="continuationSeparator" w:id="0">
    <w:p w:rsidR="00BB036F" w:rsidRDefault="00BB036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6F" w:rsidRDefault="00BB03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6F" w:rsidRDefault="00BB036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6F" w:rsidRDefault="00BB03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102733"/>
    <w:rsid w:val="00121C30"/>
    <w:rsid w:val="00121D8E"/>
    <w:rsid w:val="001561A4"/>
    <w:rsid w:val="001B614A"/>
    <w:rsid w:val="001C3BFA"/>
    <w:rsid w:val="002513DC"/>
    <w:rsid w:val="002A154B"/>
    <w:rsid w:val="002A3BD9"/>
    <w:rsid w:val="00316B14"/>
    <w:rsid w:val="00396CC7"/>
    <w:rsid w:val="003F271E"/>
    <w:rsid w:val="003F572A"/>
    <w:rsid w:val="004171B3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439"/>
    <w:rsid w:val="006A2766"/>
    <w:rsid w:val="00707881"/>
    <w:rsid w:val="00710031"/>
    <w:rsid w:val="00743756"/>
    <w:rsid w:val="007470BD"/>
    <w:rsid w:val="00787C38"/>
    <w:rsid w:val="007B0F99"/>
    <w:rsid w:val="007C6A4F"/>
    <w:rsid w:val="00830A02"/>
    <w:rsid w:val="00843911"/>
    <w:rsid w:val="00844FA9"/>
    <w:rsid w:val="008940DC"/>
    <w:rsid w:val="008C1E1E"/>
    <w:rsid w:val="008F6192"/>
    <w:rsid w:val="00930C9F"/>
    <w:rsid w:val="00932008"/>
    <w:rsid w:val="009609E9"/>
    <w:rsid w:val="009E1D68"/>
    <w:rsid w:val="00A8146B"/>
    <w:rsid w:val="00AC4F51"/>
    <w:rsid w:val="00AD2022"/>
    <w:rsid w:val="00AD2591"/>
    <w:rsid w:val="00AF1279"/>
    <w:rsid w:val="00AF6C05"/>
    <w:rsid w:val="00B0673F"/>
    <w:rsid w:val="00B40246"/>
    <w:rsid w:val="00B755E7"/>
    <w:rsid w:val="00B823F3"/>
    <w:rsid w:val="00B841AE"/>
    <w:rsid w:val="00BB036F"/>
    <w:rsid w:val="00BB6799"/>
    <w:rsid w:val="00BD4582"/>
    <w:rsid w:val="00BE6A46"/>
    <w:rsid w:val="00BF1400"/>
    <w:rsid w:val="00C33A23"/>
    <w:rsid w:val="00C43711"/>
    <w:rsid w:val="00C56F44"/>
    <w:rsid w:val="00C5744D"/>
    <w:rsid w:val="00CB5511"/>
    <w:rsid w:val="00CC2049"/>
    <w:rsid w:val="00D17F0A"/>
    <w:rsid w:val="00D22945"/>
    <w:rsid w:val="00D96F84"/>
    <w:rsid w:val="00DD5439"/>
    <w:rsid w:val="00DD58B3"/>
    <w:rsid w:val="00DF63E7"/>
    <w:rsid w:val="00DF76DC"/>
    <w:rsid w:val="00E3088D"/>
    <w:rsid w:val="00E34195"/>
    <w:rsid w:val="00E47613"/>
    <w:rsid w:val="00E6626E"/>
    <w:rsid w:val="00EA211B"/>
    <w:rsid w:val="00F1313D"/>
    <w:rsid w:val="00F14DA4"/>
    <w:rsid w:val="00F46882"/>
    <w:rsid w:val="00F47C3B"/>
    <w:rsid w:val="00F71D7D"/>
    <w:rsid w:val="00F86BF2"/>
    <w:rsid w:val="00FC0BF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character" w:customStyle="1" w:styleId="fuera">
    <w:name w:val="fuera"/>
    <w:rsid w:val="00930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character" w:customStyle="1" w:styleId="fuera">
    <w:name w:val="fuera"/>
    <w:rsid w:val="0093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3D5411"/>
    <w:rsid w:val="005C20CE"/>
    <w:rsid w:val="008C63AF"/>
    <w:rsid w:val="00BF2C04"/>
    <w:rsid w:val="00C469ED"/>
    <w:rsid w:val="00D35513"/>
    <w:rsid w:val="00D56B8E"/>
    <w:rsid w:val="00DB51FE"/>
    <w:rsid w:val="00DC084A"/>
    <w:rsid w:val="00F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432F8-5119-44E0-A2D1-70EC0548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61</TotalTime>
  <Pages>9</Pages>
  <Words>1801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2021-11-16T09:56:00Z</dcterms:created>
  <dcterms:modified xsi:type="dcterms:W3CDTF">2022-01-12T10:31:00Z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