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224155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C72FDC" w:rsidRPr="00006957" w:rsidRDefault="00C72FD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7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TUR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C72FDC" w:rsidRPr="00006957" w:rsidRDefault="00C72FD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FDC" w:rsidRDefault="00C72FD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72FDC" w:rsidRDefault="00C72FD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D4821" w:rsidP="00AA145C">
            <w:pPr>
              <w:jc w:val="both"/>
              <w:rPr>
                <w:sz w:val="24"/>
                <w:szCs w:val="24"/>
              </w:rPr>
            </w:pPr>
            <w:r w:rsidRPr="003F1FAB">
              <w:rPr>
                <w:rFonts w:eastAsia="Times New Roman" w:cs="Calibri"/>
                <w:color w:val="000000"/>
              </w:rPr>
              <w:t xml:space="preserve">FUNDACION </w:t>
            </w:r>
            <w:r w:rsidR="00AA145C">
              <w:rPr>
                <w:rFonts w:eastAsia="Times New Roman" w:cs="Calibri"/>
                <w:color w:val="000000"/>
              </w:rPr>
              <w:t>CONCORDIA Y LIBERTAD (ANTES HUMANISMO Y DEMOCRACIA)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AA1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de noviembre </w:t>
            </w:r>
            <w:r w:rsidR="002513DC">
              <w:rPr>
                <w:sz w:val="24"/>
                <w:szCs w:val="24"/>
              </w:rPr>
              <w:t>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6D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D4821">
              <w:rPr>
                <w:sz w:val="24"/>
                <w:szCs w:val="24"/>
              </w:rPr>
              <w:t>ttps://www.fconcordiaylibertad.org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A28D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A145C" w:rsidP="00AA145C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FCL cuenta con un Portal de Transparencia que se localiza  en el acceso “Quiénes somos”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B1007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AA145C" w:rsidP="00D75949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la información está organizada no se ajusta al patrón definido por la LTAIBG. Parte de la información del bloque Institucional y Organizativa se localiza fuera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AA145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B25DC5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B25DC5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609862DB" wp14:editId="7ED13E5D">
            <wp:extent cx="6600825" cy="288382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3066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A145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509B0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A4727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6626E">
            <w:pPr>
              <w:pStyle w:val="Cuerpodelboletn"/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92C9B" w:rsidP="00D92C9B">
            <w:pPr>
              <w:pStyle w:val="Cuerpodelboletn"/>
              <w:spacing w:before="5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5509B0">
            <w:pPr>
              <w:pStyle w:val="Cuerpodelboletn"/>
              <w:spacing w:before="4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DC" w:rsidRDefault="00C72FD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72FDC" w:rsidRPr="00ED29AA" w:rsidRDefault="00C72FDC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C72FDC" w:rsidRDefault="00C72FDC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su estructura organizativa </w:t>
                            </w:r>
                          </w:p>
                          <w:p w:rsidR="00C72FDC" w:rsidRDefault="00C72FDC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C72FDC" w:rsidRPr="002301DB" w:rsidRDefault="00C72FDC" w:rsidP="00BE4A59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2FDC" w:rsidRDefault="00C72FDC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C72FDC" w:rsidRDefault="00C72FDC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C72FDC" w:rsidRPr="00BD4582" w:rsidRDefault="00C72FDC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C72FDC" w:rsidRDefault="00C72FD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72FDC" w:rsidRPr="00ED29AA" w:rsidRDefault="00C72FDC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C72FDC" w:rsidRDefault="00C72FDC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su estructura organizativa </w:t>
                      </w:r>
                    </w:p>
                    <w:p w:rsidR="00C72FDC" w:rsidRDefault="00C72FDC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C72FDC" w:rsidRPr="002301DB" w:rsidRDefault="00C72FDC" w:rsidP="00BE4A59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72FDC" w:rsidRDefault="00C72FDC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C72FDC" w:rsidRDefault="00C72FDC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C72FDC" w:rsidRPr="00BD4582" w:rsidRDefault="00C72FDC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BE4A59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Default="00BE4A59" w:rsidP="00BE4A59">
            <w:r w:rsidRPr="009805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E4A59" w:rsidRPr="00CB5511" w:rsidTr="00BE4A5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Default="00BE4A59" w:rsidP="00BE4A59">
            <w:r w:rsidRPr="009805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E4A59" w:rsidRPr="00CB5511" w:rsidTr="00BE4A59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Default="00BE4A59" w:rsidP="00BE4A59">
            <w:r w:rsidRPr="009805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44DE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CB5511" w:rsidRDefault="00D44DED" w:rsidP="00DF0D69">
            <w:pPr>
              <w:pStyle w:val="Cuerpodelboletn"/>
              <w:spacing w:before="58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35F79" w:rsidRPr="00BE4A59" w:rsidRDefault="00BE4A59" w:rsidP="009A5971">
            <w:pPr>
              <w:pStyle w:val="Cuerpodelboletn"/>
              <w:spacing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2019. Dado el desfase temporal existente no se ha podido considerar cumplida esta obligación</w:t>
            </w:r>
          </w:p>
        </w:tc>
      </w:tr>
      <w:tr w:rsidR="00D44DED" w:rsidRPr="00CB5511" w:rsidTr="00D44DE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CB5511" w:rsidRDefault="00D44DED" w:rsidP="00DF0D69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BE4A59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44DE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CB5511" w:rsidRDefault="00DF0D69" w:rsidP="00DF0D69">
            <w:pPr>
              <w:pStyle w:val="Cuerpodelboletn"/>
              <w:spacing w:before="4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D44DED" w:rsidP="00035F79">
            <w:pPr>
              <w:pStyle w:val="Cuerpodelboletn"/>
              <w:spacing w:before="18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D44DE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CB5511" w:rsidRDefault="00DF0D69" w:rsidP="00DF0D69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D44DED" w:rsidP="00D44DED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D44DED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CB5511" w:rsidRDefault="00D44DED" w:rsidP="00D44DE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BE4A59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DC" w:rsidRDefault="00C72FD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72FDC" w:rsidRPr="00ED29AA" w:rsidRDefault="00C72FDC" w:rsidP="0055361C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C72FDC" w:rsidRPr="00BB036F" w:rsidRDefault="00C72FDC" w:rsidP="00C72FDC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C72FDC" w:rsidRDefault="00C72FDC" w:rsidP="00C72FDC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C72FDC" w:rsidRPr="00BB036F" w:rsidRDefault="00C72FDC" w:rsidP="00C72FDC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sobre las subvenciones y ayudas públicas percibidas está muy desactualizada</w:t>
                            </w:r>
                          </w:p>
                          <w:p w:rsidR="00C72FDC" w:rsidRDefault="00C72FDC" w:rsidP="00C72FDC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C72FDC" w:rsidRPr="00BB036F" w:rsidRDefault="00C72FDC" w:rsidP="00C72FDC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C72FDC" w:rsidRDefault="00C72FDC" w:rsidP="00C33A23"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C72FDC" w:rsidRDefault="00C72FDC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72FDC" w:rsidRPr="00ED29AA" w:rsidRDefault="00C72FDC" w:rsidP="0055361C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C72FDC" w:rsidRPr="00BB036F" w:rsidRDefault="00C72FDC" w:rsidP="00C72FDC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C72FDC" w:rsidRDefault="00C72FDC" w:rsidP="00C72FDC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C72FDC" w:rsidRPr="00BB036F" w:rsidRDefault="00C72FDC" w:rsidP="00C72FDC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sobre las subvenciones y ayudas públicas percibidas está muy desactualizada</w:t>
                      </w:r>
                    </w:p>
                    <w:p w:rsidR="00C72FDC" w:rsidRDefault="00C72FDC" w:rsidP="00C72FDC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C72FDC" w:rsidRPr="00BB036F" w:rsidRDefault="00C72FDC" w:rsidP="00C72FDC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C72FDC" w:rsidRDefault="00C72FDC" w:rsidP="00C33A23"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72FDC" w:rsidRPr="00FD0689" w:rsidTr="00C7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72FDC" w:rsidRPr="00FD0689" w:rsidRDefault="00C72FDC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58,3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66,7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66,7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66,7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66,7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50,0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41,7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2BD">
              <w:t>59,5</w:t>
            </w:r>
          </w:p>
        </w:tc>
      </w:tr>
      <w:tr w:rsidR="00C72FDC" w:rsidRPr="00FD0689" w:rsidTr="00C72FD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72FDC" w:rsidRPr="00FD0689" w:rsidRDefault="00C72FDC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0,0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25,0</w:t>
            </w:r>
          </w:p>
        </w:tc>
        <w:tc>
          <w:tcPr>
            <w:tcW w:w="0" w:type="auto"/>
            <w:noWrap/>
            <w:vAlign w:val="center"/>
          </w:tcPr>
          <w:p w:rsidR="00C72FDC" w:rsidRPr="009432BD" w:rsidRDefault="00C72FDC" w:rsidP="00C7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2BD">
              <w:t>21,4</w:t>
            </w:r>
          </w:p>
        </w:tc>
      </w:tr>
      <w:tr w:rsidR="00C72FDC" w:rsidRPr="00A94BCA" w:rsidTr="00C7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72FDC" w:rsidRPr="002A154B" w:rsidRDefault="00C72FD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C72FDC" w:rsidRPr="00C72FDC" w:rsidRDefault="00C72FDC" w:rsidP="00C7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72FDC">
              <w:rPr>
                <w:b/>
                <w:i/>
              </w:rPr>
              <w:t>37,8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37,8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39,3</w:t>
      </w:r>
      <w:r w:rsidRPr="00BF1400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714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DC" w:rsidRDefault="00C72FD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72FDC" w:rsidRDefault="00C72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Concordia y Libertad publica informaciones adicionales a las obligatorias que son relevantes respecto de la transparencia de la organización. Así se publica:</w:t>
                            </w:r>
                          </w:p>
                          <w:p w:rsidR="00C72FDC" w:rsidRDefault="00C72FDC" w:rsidP="00C72FD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Los informes anuales</w:t>
                            </w:r>
                          </w:p>
                          <w:p w:rsidR="00C72FDC" w:rsidRDefault="00C72FDC" w:rsidP="00C72FD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tablas salariales</w:t>
                            </w:r>
                          </w:p>
                          <w:p w:rsidR="00C72FDC" w:rsidRDefault="00C72FDC" w:rsidP="00C72FD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Los planes </w:t>
                            </w:r>
                            <w:r w:rsidR="00B95A56">
                              <w:rPr>
                                <w:sz w:val="20"/>
                                <w:szCs w:val="20"/>
                              </w:rPr>
                              <w:t xml:space="preserve">Estratégico y operativo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actuación de la Fundación</w:t>
                            </w:r>
                          </w:p>
                          <w:p w:rsidR="00B95A56" w:rsidRPr="00C72FDC" w:rsidRDefault="00B95A56" w:rsidP="00C72FD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identificación de los financiadores privados de la Fundación</w:t>
                            </w:r>
                          </w:p>
                          <w:p w:rsidR="00C72FDC" w:rsidRPr="00C72FDC" w:rsidRDefault="00C72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2FDC" w:rsidRPr="00C72FDC" w:rsidRDefault="00C72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">
                <v:textbox>
                  <w:txbxContent>
                    <w:p w:rsidR="00C72FDC" w:rsidRDefault="00C72FD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C72FDC" w:rsidRDefault="00C72F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Concordia y Libertad publica informaciones adicionales a las obligatorias que son relevantes respecto de la transparencia de la organización. Así se publica:</w:t>
                      </w:r>
                    </w:p>
                    <w:p w:rsidR="00C72FDC" w:rsidRDefault="00C72FDC" w:rsidP="00C72FD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Los informes anuales</w:t>
                      </w:r>
                    </w:p>
                    <w:p w:rsidR="00C72FDC" w:rsidRDefault="00C72FDC" w:rsidP="00C72FD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tablas salariales</w:t>
                      </w:r>
                    </w:p>
                    <w:p w:rsidR="00C72FDC" w:rsidRDefault="00C72FDC" w:rsidP="00C72FD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Los planes </w:t>
                      </w:r>
                      <w:r w:rsidR="00B95A56">
                        <w:rPr>
                          <w:sz w:val="20"/>
                          <w:szCs w:val="20"/>
                        </w:rPr>
                        <w:t xml:space="preserve">Estratégico y operativo </w:t>
                      </w:r>
                      <w:r>
                        <w:rPr>
                          <w:sz w:val="20"/>
                          <w:szCs w:val="20"/>
                        </w:rPr>
                        <w:t>de actuación de la Fundación</w:t>
                      </w:r>
                    </w:p>
                    <w:p w:rsidR="00B95A56" w:rsidRPr="00C72FDC" w:rsidRDefault="00B95A56" w:rsidP="00C72FD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identificación de los financiadores privados de la Fundación</w:t>
                      </w:r>
                    </w:p>
                    <w:p w:rsidR="00C72FDC" w:rsidRPr="00C72FDC" w:rsidRDefault="00C72FD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72FDC" w:rsidRPr="00C72FDC" w:rsidRDefault="00C72F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DC" w:rsidRDefault="00C72FD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72FDC" w:rsidRDefault="00B95A56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la Fundación Concordia y Libertad que podrían aplicarse por otras organizaciones sujetas a obligaciones de publicidad activa, cabe mencionar:</w:t>
                            </w:r>
                          </w:p>
                          <w:p w:rsidR="00C72FDC" w:rsidRPr="00B95A56" w:rsidRDefault="00B95A56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C72FDC" w:rsidRDefault="00C72FD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72FDC" w:rsidRDefault="00B95A56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de la Fundación Concordia y Libertad que podrían aplicarse por otras organizaciones sujetas a obligaciones de publicidad activa, cabe mencionar:</w:t>
                      </w:r>
                    </w:p>
                    <w:p w:rsidR="00C72FDC" w:rsidRPr="00B95A56" w:rsidRDefault="00B95A56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Times New Roman"/>
        </w:rPr>
        <w:t>FCL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>
        <w:rPr>
          <w:color w:val="000000"/>
          <w:szCs w:val="24"/>
        </w:rPr>
        <w:t>37,8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Pr="00CB39E9">
        <w:rPr>
          <w:rFonts w:eastAsia="Times New Roman" w:cs="Times New Roman"/>
        </w:rPr>
        <w:t>FCL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>de la Fundación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entidad</w:t>
      </w:r>
    </w:p>
    <w:p w:rsidR="00CB39E9" w:rsidRPr="00BF1400" w:rsidRDefault="00CB39E9" w:rsidP="00CB39E9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Times New Roman"/>
        </w:rPr>
        <w:t>FCL</w:t>
      </w:r>
      <w:r>
        <w:rPr>
          <w:rFonts w:eastAsiaTheme="minorHAnsi" w:cs="Arial"/>
          <w:szCs w:val="24"/>
          <w:lang w:eastAsia="en-US" w:bidi="es-ES"/>
        </w:rPr>
        <w:t>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actualizada sobre las subvenciones y ayudas públicas percibidas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el presupuesto.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>
        <w:rPr>
          <w:rFonts w:cs="Arial"/>
        </w:rPr>
        <w:t>noviembre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BA28D9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DC" w:rsidRDefault="00C72FDC" w:rsidP="00932008">
      <w:pPr>
        <w:spacing w:after="0" w:line="240" w:lineRule="auto"/>
      </w:pPr>
      <w:r>
        <w:separator/>
      </w:r>
    </w:p>
  </w:endnote>
  <w:endnote w:type="continuationSeparator" w:id="0">
    <w:p w:rsidR="00C72FDC" w:rsidRDefault="00C72FD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DC" w:rsidRDefault="00C72FDC" w:rsidP="00932008">
      <w:pPr>
        <w:spacing w:after="0" w:line="240" w:lineRule="auto"/>
      </w:pPr>
      <w:r>
        <w:separator/>
      </w:r>
    </w:p>
  </w:footnote>
  <w:footnote w:type="continuationSeparator" w:id="0">
    <w:p w:rsidR="00C72FDC" w:rsidRDefault="00C72FD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DC" w:rsidRDefault="00C72F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102733"/>
    <w:rsid w:val="00106FDA"/>
    <w:rsid w:val="00121C30"/>
    <w:rsid w:val="001561A4"/>
    <w:rsid w:val="001B614A"/>
    <w:rsid w:val="002513DC"/>
    <w:rsid w:val="00265501"/>
    <w:rsid w:val="002A154B"/>
    <w:rsid w:val="002A3BD9"/>
    <w:rsid w:val="00316B14"/>
    <w:rsid w:val="00396CC7"/>
    <w:rsid w:val="003F271E"/>
    <w:rsid w:val="003F572A"/>
    <w:rsid w:val="00405EFB"/>
    <w:rsid w:val="004F2655"/>
    <w:rsid w:val="00521DA9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6D4821"/>
    <w:rsid w:val="00710031"/>
    <w:rsid w:val="00712E28"/>
    <w:rsid w:val="00743756"/>
    <w:rsid w:val="007B0F99"/>
    <w:rsid w:val="00843911"/>
    <w:rsid w:val="00844FA9"/>
    <w:rsid w:val="008C1E1E"/>
    <w:rsid w:val="008F6192"/>
    <w:rsid w:val="00932008"/>
    <w:rsid w:val="009609E9"/>
    <w:rsid w:val="009A5971"/>
    <w:rsid w:val="009E1D68"/>
    <w:rsid w:val="00A8146B"/>
    <w:rsid w:val="00AA145C"/>
    <w:rsid w:val="00AC4F51"/>
    <w:rsid w:val="00AD2022"/>
    <w:rsid w:val="00AD2591"/>
    <w:rsid w:val="00AF6C05"/>
    <w:rsid w:val="00B0673F"/>
    <w:rsid w:val="00B1007E"/>
    <w:rsid w:val="00B25DC5"/>
    <w:rsid w:val="00B40246"/>
    <w:rsid w:val="00B74887"/>
    <w:rsid w:val="00B755E7"/>
    <w:rsid w:val="00B841AE"/>
    <w:rsid w:val="00B95A56"/>
    <w:rsid w:val="00B9705F"/>
    <w:rsid w:val="00BA28D9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B39E9"/>
    <w:rsid w:val="00CB5511"/>
    <w:rsid w:val="00CC2049"/>
    <w:rsid w:val="00CD49F3"/>
    <w:rsid w:val="00D17F0A"/>
    <w:rsid w:val="00D22945"/>
    <w:rsid w:val="00D44DED"/>
    <w:rsid w:val="00D53AEE"/>
    <w:rsid w:val="00D75949"/>
    <w:rsid w:val="00D92C9B"/>
    <w:rsid w:val="00D96F84"/>
    <w:rsid w:val="00DB1415"/>
    <w:rsid w:val="00DD5439"/>
    <w:rsid w:val="00DD58B3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B64B71"/>
    <w:rsid w:val="00BF2C04"/>
    <w:rsid w:val="00D1312C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029A2-3034-4910-9BE9-02824EC3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</TotalTime>
  <Pages>9</Pages>
  <Words>1773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8</cp:revision>
  <cp:lastPrinted>2007-10-26T10:03:00Z</cp:lastPrinted>
  <dcterms:created xsi:type="dcterms:W3CDTF">2021-11-17T17:05:00Z</dcterms:created>
  <dcterms:modified xsi:type="dcterms:W3CDTF">2022-01-12T11:19:00Z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