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681972" w:rsidRPr="00006957" w:rsidRDefault="006819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681972" w:rsidRPr="00006957" w:rsidRDefault="006819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1972" w:rsidRDefault="006819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81972" w:rsidRDefault="006819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25C7E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COOPERATIVAS AGROALIMENTARIAS DE ESPAÑA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B1415" w:rsidP="00313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513DC">
              <w:rPr>
                <w:sz w:val="24"/>
                <w:szCs w:val="24"/>
              </w:rPr>
              <w:t xml:space="preserve"> de </w:t>
            </w:r>
            <w:r w:rsidR="00313998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A25C7E">
            <w:pPr>
              <w:rPr>
                <w:sz w:val="24"/>
                <w:szCs w:val="24"/>
              </w:rPr>
            </w:pPr>
            <w:r w:rsidRPr="00A25C7E">
              <w:rPr>
                <w:sz w:val="24"/>
                <w:szCs w:val="24"/>
              </w:rPr>
              <w:t>https://www.agro-alimentarias.coop/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7C58EF">
        <w:tc>
          <w:tcPr>
            <w:tcW w:w="1760" w:type="dxa"/>
            <w:shd w:val="clear" w:color="auto" w:fill="4D7F52"/>
          </w:tcPr>
          <w:p w:rsidR="00C43711" w:rsidRPr="00F14DA4" w:rsidRDefault="00C43711" w:rsidP="007C58E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7C58E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7C58E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7C58E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7C58EF">
        <w:tc>
          <w:tcPr>
            <w:tcW w:w="1760" w:type="dxa"/>
          </w:tcPr>
          <w:p w:rsidR="002A3BD9" w:rsidRDefault="002A3BD9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7C58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7C58EF">
        <w:tc>
          <w:tcPr>
            <w:tcW w:w="1760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7C5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7C58EF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7C58E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7C58E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7C58E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7C58E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7C58E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7C58E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C58E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D0DB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313998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 w:val="restart"/>
          </w:tcPr>
          <w:p w:rsidR="00CB5511" w:rsidRPr="00313998" w:rsidRDefault="00313998" w:rsidP="00313998">
            <w:pPr>
              <w:jc w:val="both"/>
              <w:rPr>
                <w:sz w:val="20"/>
                <w:szCs w:val="20"/>
              </w:rPr>
            </w:pPr>
            <w:r w:rsidRPr="00313998">
              <w:rPr>
                <w:rFonts w:cs="Tahoma"/>
                <w:bCs/>
                <w:sz w:val="20"/>
                <w:szCs w:val="20"/>
              </w:rPr>
              <w:t>Acceso mediante un banner localizable en la parte inferior de la página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31399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13998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 w:val="restart"/>
          </w:tcPr>
          <w:p w:rsidR="007C58EF" w:rsidRPr="00313998" w:rsidRDefault="00313998" w:rsidP="004E62BB">
            <w:pPr>
              <w:spacing w:before="900"/>
              <w:rPr>
                <w:rFonts w:cs="Tahoma"/>
                <w:bCs/>
                <w:sz w:val="20"/>
                <w:szCs w:val="20"/>
              </w:rPr>
            </w:pPr>
            <w:r w:rsidRPr="00313998">
              <w:rPr>
                <w:rFonts w:cs="Tahoma"/>
                <w:bCs/>
                <w:sz w:val="20"/>
                <w:szCs w:val="20"/>
              </w:rPr>
              <w:t>La información se estructura en tres</w:t>
            </w:r>
            <w:r>
              <w:rPr>
                <w:rFonts w:cs="Tahoma"/>
                <w:bCs/>
                <w:sz w:val="20"/>
                <w:szCs w:val="20"/>
              </w:rPr>
              <w:t xml:space="preserve"> bloques: Información Institucional, Información organizativa e Información económica</w:t>
            </w:r>
          </w:p>
        </w:tc>
      </w:tr>
      <w:tr w:rsidR="00932008" w:rsidRPr="0031399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31399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7C58E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7C58EF">
        <w:rPr>
          <w:rFonts w:ascii="Arial" w:eastAsia="Times New Roman" w:hAnsi="Arial" w:cs="Arial"/>
          <w:noProof/>
          <w:color w:val="202124"/>
          <w:sz w:val="24"/>
          <w:szCs w:val="24"/>
        </w:rPr>
        <w:drawing>
          <wp:inline distT="0" distB="0" distL="0" distR="0" wp14:anchorId="631047BA" wp14:editId="4F16C230">
            <wp:extent cx="6181725" cy="3962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C6421F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642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03B81">
            <w:pPr>
              <w:spacing w:before="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3998" w:rsidRDefault="00803B81" w:rsidP="00313998">
            <w:pPr>
              <w:pStyle w:val="Cuerpodelboletn"/>
              <w:spacing w:before="160"/>
              <w:rPr>
                <w:rFonts w:cs="Tahoma"/>
                <w:color w:val="auto"/>
                <w:sz w:val="20"/>
                <w:szCs w:val="20"/>
              </w:rPr>
            </w:pPr>
            <w:r w:rsidRPr="00313998">
              <w:rPr>
                <w:rFonts w:cs="Tahoma"/>
                <w:color w:val="auto"/>
                <w:sz w:val="20"/>
                <w:szCs w:val="20"/>
              </w:rPr>
              <w:t xml:space="preserve">No </w:t>
            </w:r>
            <w:r w:rsidR="00313998">
              <w:rPr>
                <w:rFonts w:cs="Tahoma"/>
                <w:color w:val="auto"/>
                <w:sz w:val="20"/>
                <w:szCs w:val="20"/>
              </w:rPr>
              <w:t>se ha localizado información.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6421F">
            <w:pPr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803B81">
            <w:pPr>
              <w:pStyle w:val="Cuerpodelboletn"/>
              <w:spacing w:before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3998" w:rsidRDefault="00E34195" w:rsidP="002513DC">
            <w:pPr>
              <w:pStyle w:val="Cuerpodelboletn"/>
              <w:spacing w:before="160" w:after="120" w:line="312" w:lineRule="auto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03B81" w:rsidP="00803B81">
            <w:pPr>
              <w:pStyle w:val="Cuerpodelboletn"/>
              <w:spacing w:before="48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3998" w:rsidRDefault="00E34195" w:rsidP="00803B81">
            <w:pPr>
              <w:pStyle w:val="Cuerpodelboletn"/>
              <w:spacing w:before="360"/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6421F">
            <w:pPr>
              <w:pStyle w:val="Cuerpodelboletn"/>
              <w:spacing w:before="2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03B81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3998" w:rsidRDefault="00313998" w:rsidP="00803B81">
            <w:pPr>
              <w:pStyle w:val="Cuerpodelboletn"/>
              <w:spacing w:before="120" w:after="120"/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En enlace organigrama realmente recoge la identificación de las personas que integran la estructura administrativa de la organización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03B81" w:rsidP="00803B81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3998" w:rsidRDefault="00E34195" w:rsidP="00E6626E">
            <w:pPr>
              <w:pStyle w:val="Cuerpodelboletn"/>
              <w:spacing w:before="240"/>
              <w:rPr>
                <w:color w:val="auto"/>
                <w:sz w:val="20"/>
                <w:szCs w:val="20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13998" w:rsidRDefault="00313998" w:rsidP="00E6626E">
            <w:pPr>
              <w:pStyle w:val="Cuerpodelboletn"/>
              <w:spacing w:before="540"/>
              <w:rPr>
                <w:rFonts w:cs="Tahoma"/>
                <w:color w:val="auto"/>
                <w:sz w:val="20"/>
                <w:szCs w:val="20"/>
              </w:rPr>
            </w:pPr>
            <w:r w:rsidRPr="00313998">
              <w:rPr>
                <w:rFonts w:cs="Tahoma"/>
                <w:color w:val="auto"/>
                <w:sz w:val="20"/>
                <w:szCs w:val="20"/>
              </w:rPr>
              <w:t>No se ha localizado información.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72" w:rsidRDefault="006819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81972" w:rsidRPr="00ED29AA" w:rsidRDefault="00681972" w:rsidP="0031399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681972" w:rsidRDefault="00681972" w:rsidP="0031399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681972" w:rsidRDefault="00681972" w:rsidP="0031399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681972" w:rsidRDefault="00681972" w:rsidP="0031399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681972" w:rsidRPr="002301DB" w:rsidRDefault="00681972" w:rsidP="00313998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1972" w:rsidRDefault="00681972" w:rsidP="0031399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681972" w:rsidRDefault="00681972" w:rsidP="00313998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681972" w:rsidRPr="00BD4582" w:rsidRDefault="00681972" w:rsidP="00313998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681972" w:rsidRDefault="006819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81972" w:rsidRPr="00ED29AA" w:rsidRDefault="00681972" w:rsidP="0031399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681972" w:rsidRDefault="00681972" w:rsidP="0031399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681972" w:rsidRDefault="00681972" w:rsidP="0031399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681972" w:rsidRDefault="00681972" w:rsidP="0031399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681972" w:rsidRPr="002301DB" w:rsidRDefault="00681972" w:rsidP="00313998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81972" w:rsidRDefault="00681972" w:rsidP="0031399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681972" w:rsidRDefault="00681972" w:rsidP="00313998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681972" w:rsidRPr="00BD4582" w:rsidRDefault="00681972" w:rsidP="00313998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07F32" w:rsidRPr="00E34195" w:rsidTr="00C6421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07F32" w:rsidRPr="00E34195" w:rsidRDefault="00C07F32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07F32" w:rsidRPr="00E34195" w:rsidRDefault="00C07F32" w:rsidP="00C6421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07F32" w:rsidRPr="00E34195" w:rsidRDefault="00C07F32" w:rsidP="00313998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07F32" w:rsidRPr="00E34195" w:rsidRDefault="00C07F32" w:rsidP="00C642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313998" w:rsidRPr="00CB5511" w:rsidTr="00313998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313998" w:rsidRPr="00E34195" w:rsidRDefault="00313998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13998" w:rsidRDefault="00313998" w:rsidP="00313998">
            <w:r w:rsidRPr="00955671">
              <w:rPr>
                <w:rFonts w:cs="Tahoma"/>
                <w:sz w:val="20"/>
                <w:szCs w:val="20"/>
              </w:rPr>
              <w:t>No se ha localizado información.</w:t>
            </w:r>
          </w:p>
        </w:tc>
      </w:tr>
      <w:tr w:rsidR="00313998" w:rsidRPr="00CB5511" w:rsidTr="00313998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313998" w:rsidRPr="00E34195" w:rsidRDefault="00313998" w:rsidP="00313998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Default="00313998" w:rsidP="00313998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13998" w:rsidRDefault="00313998" w:rsidP="00313998">
            <w:r w:rsidRPr="00955671">
              <w:rPr>
                <w:rFonts w:cs="Tahoma"/>
                <w:sz w:val="20"/>
                <w:szCs w:val="20"/>
              </w:rPr>
              <w:t>No se ha localizado información.</w:t>
            </w:r>
          </w:p>
        </w:tc>
      </w:tr>
      <w:tr w:rsidR="00313998" w:rsidRPr="00CB5511" w:rsidTr="00313998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313998" w:rsidRPr="00E34195" w:rsidRDefault="00313998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13998" w:rsidRDefault="00313998" w:rsidP="00313998">
            <w:r w:rsidRPr="00955671">
              <w:rPr>
                <w:rFonts w:cs="Tahoma"/>
                <w:sz w:val="20"/>
                <w:szCs w:val="20"/>
              </w:rPr>
              <w:t>No se ha localizado información.</w:t>
            </w:r>
          </w:p>
        </w:tc>
      </w:tr>
      <w:tr w:rsidR="00313998" w:rsidRPr="00CB5511" w:rsidTr="00313998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313998" w:rsidRDefault="00313998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Default="00313998" w:rsidP="00313998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13998" w:rsidRDefault="00313998" w:rsidP="00CF038E">
            <w:r>
              <w:rPr>
                <w:rFonts w:cs="Tahoma"/>
                <w:sz w:val="20"/>
                <w:szCs w:val="20"/>
              </w:rPr>
              <w:t xml:space="preserve">La información publicada corresponde al año 2016, por esta razón no se ha </w:t>
            </w:r>
            <w:r w:rsidR="00CF038E">
              <w:rPr>
                <w:rFonts w:cs="Tahoma"/>
                <w:sz w:val="20"/>
                <w:szCs w:val="20"/>
              </w:rPr>
              <w:t>dado por cumplida esta obligación</w:t>
            </w:r>
          </w:p>
        </w:tc>
      </w:tr>
      <w:tr w:rsidR="00313998" w:rsidRPr="00CB5511" w:rsidTr="00313998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313998" w:rsidRDefault="00313998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Default="00313998" w:rsidP="00313998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13998" w:rsidRDefault="00313998" w:rsidP="00313998">
            <w:r w:rsidRPr="00955671">
              <w:rPr>
                <w:rFonts w:cs="Tahoma"/>
                <w:sz w:val="20"/>
                <w:szCs w:val="20"/>
              </w:rPr>
              <w:t>No se ha localizado información.</w:t>
            </w:r>
          </w:p>
        </w:tc>
      </w:tr>
      <w:tr w:rsidR="00CF038E" w:rsidRPr="00CB5511" w:rsidTr="0068197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F038E" w:rsidRDefault="00CF038E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038E" w:rsidRDefault="00CF038E" w:rsidP="00313998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038E" w:rsidRPr="00CB5511" w:rsidRDefault="00CF038E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038E" w:rsidRDefault="00CF038E">
            <w:r w:rsidRPr="0098266D">
              <w:rPr>
                <w:rFonts w:cs="Tahoma"/>
                <w:sz w:val="20"/>
                <w:szCs w:val="20"/>
              </w:rPr>
              <w:t>La información publicada corresponde al año 2016, por esta razón no se ha dado por cumplida esta obligación</w:t>
            </w:r>
          </w:p>
        </w:tc>
      </w:tr>
      <w:tr w:rsidR="00CF038E" w:rsidRPr="00CB5511" w:rsidTr="0068197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F038E" w:rsidRDefault="00CF038E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038E" w:rsidRDefault="00CF038E" w:rsidP="00313998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038E" w:rsidRPr="00CB5511" w:rsidRDefault="00CF038E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F038E" w:rsidRDefault="00CF038E">
            <w:r w:rsidRPr="0098266D">
              <w:rPr>
                <w:rFonts w:cs="Tahoma"/>
                <w:sz w:val="20"/>
                <w:szCs w:val="20"/>
              </w:rPr>
              <w:t>La información publicada corresponde al año 2016, por esta razón no se ha dado por cumplida esta obligación</w:t>
            </w:r>
          </w:p>
        </w:tc>
      </w:tr>
      <w:tr w:rsidR="00313998" w:rsidRPr="00CB5511" w:rsidTr="00313998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313998" w:rsidRDefault="00313998" w:rsidP="003139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Default="00313998" w:rsidP="00313998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3998" w:rsidRPr="00CB5511" w:rsidRDefault="00313998" w:rsidP="003139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313998" w:rsidRDefault="00CF038E" w:rsidP="00313998">
            <w:r>
              <w:rPr>
                <w:rFonts w:cs="Tahoma"/>
                <w:sz w:val="20"/>
                <w:szCs w:val="20"/>
              </w:rPr>
              <w:t>La información publicada corresponde al año 2016, por esta razón no se ha dado por cumplida esta obligación</w:t>
            </w:r>
          </w:p>
        </w:tc>
      </w:tr>
    </w:tbl>
    <w:p w:rsidR="00535291" w:rsidRDefault="0053529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35291" w:rsidRDefault="00535291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535291" w:rsidRDefault="0053529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72" w:rsidRDefault="00681972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81972" w:rsidRPr="00CF038E" w:rsidRDefault="00681972" w:rsidP="00BD4582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CF038E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No se publica </w:t>
                            </w: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ninguno de los contenidos obligatorios establecidos en el artículo 8 de la LTAIBG</w:t>
                            </w:r>
                          </w:p>
                          <w:p w:rsidR="00681972" w:rsidRDefault="00681972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81972" w:rsidRPr="00BD4582" w:rsidRDefault="00681972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681972" w:rsidRDefault="00681972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681972" w:rsidRDefault="00681972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81972" w:rsidRPr="00CF038E" w:rsidRDefault="00681972" w:rsidP="00BD4582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CF038E">
                        <w:rPr>
                          <w:rFonts w:cs="Tahoma"/>
                          <w:sz w:val="20"/>
                          <w:szCs w:val="20"/>
                        </w:rPr>
                        <w:t xml:space="preserve">No se publica </w:t>
                      </w:r>
                      <w:r>
                        <w:rPr>
                          <w:rFonts w:cs="Tahoma"/>
                          <w:sz w:val="20"/>
                          <w:szCs w:val="20"/>
                        </w:rPr>
                        <w:t>ninguno de los contenidos obligatorios establecidos en el artículo 8 de la LTAIBG</w:t>
                      </w:r>
                    </w:p>
                    <w:p w:rsidR="00681972" w:rsidRDefault="00681972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681972" w:rsidRPr="00BD4582" w:rsidRDefault="00681972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681972" w:rsidRDefault="00681972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81972" w:rsidRPr="00FD0689" w:rsidTr="0068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81972" w:rsidRPr="00FD0689" w:rsidRDefault="0068197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50,0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50,0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50,0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50,0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50,0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50,0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8,3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8AC">
              <w:t>44,0</w:t>
            </w:r>
          </w:p>
        </w:tc>
      </w:tr>
      <w:tr w:rsidR="00681972" w:rsidRPr="00FD0689" w:rsidTr="0068197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1972" w:rsidRPr="00FD0689" w:rsidRDefault="0068197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  <w:tc>
          <w:tcPr>
            <w:tcW w:w="0" w:type="auto"/>
            <w:noWrap/>
            <w:vAlign w:val="center"/>
          </w:tcPr>
          <w:p w:rsidR="00681972" w:rsidRPr="001268AC" w:rsidRDefault="00681972" w:rsidP="00681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8AC">
              <w:t>0,0</w:t>
            </w:r>
          </w:p>
        </w:tc>
      </w:tr>
      <w:tr w:rsidR="00681972" w:rsidRPr="00A94BCA" w:rsidTr="0068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1972" w:rsidRPr="002A154B" w:rsidRDefault="0068197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681972" w:rsidRPr="00681972" w:rsidRDefault="00681972" w:rsidP="00681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81972">
              <w:rPr>
                <w:b/>
                <w:i/>
              </w:rPr>
              <w:t>18,9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E9012E" w:rsidRDefault="00E9012E" w:rsidP="00E9012E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18,9%. Los factores que explican el nivel de cumplimiento alcanzado son la omisión de la publicación de contenidos obligatorios – sólo se publica el 21,4%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72" w:rsidRDefault="006819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81972" w:rsidRDefault="00E9012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CAAE</w:t>
                            </w:r>
                            <w:r w:rsidRPr="00794454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  <w:p w:rsidR="00681972" w:rsidRPr="002A154B" w:rsidRDefault="0068197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681972" w:rsidRDefault="00681972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681972" w:rsidRDefault="00E9012E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CAAE</w:t>
                      </w:r>
                      <w:r w:rsidRPr="00794454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  <w:p w:rsidR="00681972" w:rsidRPr="002A154B" w:rsidRDefault="00681972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72" w:rsidRDefault="0068197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9012E" w:rsidRDefault="00E9012E" w:rsidP="00E9012E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AC745E">
                              <w:rPr>
                                <w:rFonts w:eastAsia="Times New Roman" w:cs="Times New Roman"/>
                              </w:rPr>
                              <w:t xml:space="preserve">Como buenas prácticas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que podrían ser aplicables por otras organizaciones sujetas a obligaciones de publicidad activa, cabe destacar:</w:t>
                            </w:r>
                          </w:p>
                          <w:p w:rsidR="00681972" w:rsidRPr="00E9012E" w:rsidRDefault="00E9012E" w:rsidP="002A154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E9012E">
                              <w:rPr>
                                <w:rFonts w:eastAsia="Times New Roman" w:cs="Times New Roman"/>
                              </w:rPr>
                              <w:t>La creación de un Portal de Transparencia en la web institucional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681972" w:rsidRDefault="00681972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9012E" w:rsidRDefault="00E9012E" w:rsidP="00E9012E">
                      <w:pPr>
                        <w:rPr>
                          <w:rFonts w:eastAsia="Times New Roman" w:cs="Times New Roman"/>
                        </w:rPr>
                      </w:pPr>
                      <w:r w:rsidRPr="00AC745E">
                        <w:rPr>
                          <w:rFonts w:eastAsia="Times New Roman" w:cs="Times New Roman"/>
                        </w:rPr>
                        <w:t xml:space="preserve">Como buenas prácticas </w:t>
                      </w:r>
                      <w:r>
                        <w:rPr>
                          <w:rFonts w:eastAsia="Times New Roman" w:cs="Times New Roman"/>
                        </w:rPr>
                        <w:t>que podrían ser aplicables por otras organizaciones sujetas a obligaciones de publicidad activa, cabe destacar:</w:t>
                      </w:r>
                    </w:p>
                    <w:p w:rsidR="00681972" w:rsidRPr="00E9012E" w:rsidRDefault="00E9012E" w:rsidP="002A154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E9012E">
                        <w:rPr>
                          <w:rFonts w:eastAsia="Times New Roman" w:cs="Times New Roman"/>
                        </w:rPr>
                        <w:t>La creación de un Portal de Transparencia en la web institucional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E9012E" w:rsidRPr="00993AC2" w:rsidRDefault="00E9012E" w:rsidP="00E9012E">
      <w:pPr>
        <w:spacing w:before="120" w:after="120" w:line="312" w:lineRule="auto"/>
        <w:jc w:val="both"/>
        <w:rPr>
          <w:rFonts w:eastAsia="Times New Roman" w:cs="Arial"/>
        </w:rPr>
      </w:pPr>
      <w:r w:rsidRPr="00993AC2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CAAE</w:t>
      </w:r>
      <w:r w:rsidRPr="00993AC2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18,9</w:t>
      </w:r>
      <w:r w:rsidRPr="00993AC2">
        <w:rPr>
          <w:rFonts w:eastAsia="Times New Roman" w:cs="Arial"/>
        </w:rPr>
        <w:t xml:space="preserve">%. </w:t>
      </w:r>
    </w:p>
    <w:p w:rsidR="00E9012E" w:rsidRDefault="00E9012E" w:rsidP="00E9012E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993AC2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CAAE</w:t>
      </w:r>
      <w:r w:rsidRPr="00993AC2">
        <w:rPr>
          <w:rFonts w:eastAsia="Times New Roman" w:cs="Arial"/>
        </w:rPr>
        <w:t>, este CT</w:t>
      </w:r>
      <w:r w:rsidRPr="008017C0">
        <w:rPr>
          <w:rFonts w:eastAsia="Times New Roman" w:cs="Arial"/>
        </w:rPr>
        <w:t xml:space="preserve">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E9012E" w:rsidRPr="008017C0" w:rsidRDefault="00E9012E" w:rsidP="00E9012E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</w:p>
    <w:p w:rsidR="00E9012E" w:rsidRPr="008017C0" w:rsidRDefault="00E9012E" w:rsidP="00E9012E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E9012E" w:rsidRDefault="00E9012E" w:rsidP="00E9012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E9012E" w:rsidRDefault="00E9012E" w:rsidP="00E9012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E9012E" w:rsidRDefault="00E9012E" w:rsidP="00E9012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informar sobre la normativ</w:t>
      </w:r>
      <w:r>
        <w:rPr>
          <w:rFonts w:eastAsiaTheme="minorHAnsi" w:cs="Arial"/>
          <w:lang w:eastAsia="en-US" w:bidi="es-ES"/>
        </w:rPr>
        <w:t xml:space="preserve">a que le resulta de aplicación </w:t>
      </w:r>
    </w:p>
    <w:p w:rsidR="00E9012E" w:rsidRPr="00F22F6C" w:rsidRDefault="00E9012E" w:rsidP="00E9012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szCs w:val="24"/>
          <w:lang w:eastAsia="en-US" w:bidi="es-ES"/>
        </w:rPr>
        <w:t xml:space="preserve">Debe publicarse el organigrama </w:t>
      </w:r>
      <w:r>
        <w:rPr>
          <w:rFonts w:eastAsiaTheme="minorHAnsi" w:cs="Arial"/>
          <w:szCs w:val="24"/>
          <w:lang w:eastAsia="en-US" w:bidi="es-ES"/>
        </w:rPr>
        <w:t xml:space="preserve">de </w:t>
      </w:r>
      <w:r w:rsidRPr="00794454">
        <w:rPr>
          <w:rFonts w:eastAsiaTheme="minorHAnsi" w:cs="Arial"/>
          <w:szCs w:val="24"/>
          <w:lang w:eastAsia="en-US" w:bidi="es-ES"/>
        </w:rPr>
        <w:t xml:space="preserve"> </w:t>
      </w:r>
      <w:r>
        <w:rPr>
          <w:rFonts w:eastAsia="Times New Roman" w:cs="Arial"/>
        </w:rPr>
        <w:t>CAAE, entendido como la representación gráfica de la estructura organizativa y de las relaciones entre los diversos niveles de dicha estructura.</w:t>
      </w:r>
    </w:p>
    <w:p w:rsidR="00E9012E" w:rsidRPr="00794454" w:rsidRDefault="00E9012E" w:rsidP="00E9012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publicarse información sobre los perfiles y trayectorias profesionales de sus responsables.</w:t>
      </w:r>
    </w:p>
    <w:p w:rsidR="00E9012E" w:rsidRDefault="00E9012E" w:rsidP="00E9012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E9012E" w:rsidRPr="00805C29" w:rsidRDefault="00E9012E" w:rsidP="00E9012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E9012E" w:rsidRPr="00805C29" w:rsidRDefault="00E9012E" w:rsidP="00E9012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E9012E" w:rsidRPr="00805C29" w:rsidRDefault="00E9012E" w:rsidP="00E9012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</w:t>
      </w:r>
      <w:r>
        <w:rPr>
          <w:rFonts w:eastAsia="Times New Roman" w:cs="Arial"/>
          <w:bCs/>
          <w:szCs w:val="36"/>
        </w:rPr>
        <w:t>publicarse la información actualizada sobre subvenciones y ayudas públicas percibidas.</w:t>
      </w:r>
    </w:p>
    <w:p w:rsidR="00E9012E" w:rsidRPr="00805C29" w:rsidRDefault="00E9012E" w:rsidP="00E9012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E9012E" w:rsidRPr="00805C29" w:rsidRDefault="00E9012E" w:rsidP="00E9012E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E9012E" w:rsidRPr="00805C29" w:rsidRDefault="00E9012E" w:rsidP="00E9012E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lastRenderedPageBreak/>
        <w:t>Debe informarse sobre las retribuciones anuales percibidas por sus máximos responsables.</w:t>
      </w:r>
    </w:p>
    <w:p w:rsidR="00E9012E" w:rsidRDefault="00E9012E" w:rsidP="00E9012E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E9012E" w:rsidRDefault="00E9012E" w:rsidP="00E9012E">
      <w:pPr>
        <w:spacing w:before="120" w:after="120" w:line="312" w:lineRule="auto"/>
        <w:ind w:left="426"/>
        <w:contextualSpacing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E9012E" w:rsidRPr="008017C0" w:rsidRDefault="00E9012E" w:rsidP="00E9012E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E9012E" w:rsidRPr="008017C0" w:rsidRDefault="00E9012E" w:rsidP="00E9012E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E9012E" w:rsidRPr="00F22F6C" w:rsidRDefault="00E9012E" w:rsidP="00E9012E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E9012E" w:rsidRPr="00E963B3" w:rsidRDefault="00E9012E" w:rsidP="00E9012E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E9012E" w:rsidRPr="00380060" w:rsidRDefault="00E9012E" w:rsidP="00E9012E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E9012E" w:rsidRPr="008017C0" w:rsidRDefault="00E9012E" w:rsidP="00E9012E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9012E" w:rsidRPr="008017C0" w:rsidRDefault="00E9012E" w:rsidP="00E9012E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0D0DB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7C58E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7C58E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7C58E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7C58E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7C58E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7C58E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7C58E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7C58E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7C58E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7C58E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7C58E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7C58E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7C58E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7C58E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7C58E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7C58E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7C58E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7C58E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7C58E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7C58E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7C58E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7C58E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7C58E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7C58E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7C58E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7C58E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7C58E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72" w:rsidRDefault="00681972" w:rsidP="00932008">
      <w:pPr>
        <w:spacing w:after="0" w:line="240" w:lineRule="auto"/>
      </w:pPr>
      <w:r>
        <w:separator/>
      </w:r>
    </w:p>
  </w:endnote>
  <w:endnote w:type="continuationSeparator" w:id="0">
    <w:p w:rsidR="00681972" w:rsidRDefault="006819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2" w:rsidRDefault="006819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2" w:rsidRDefault="006819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2" w:rsidRDefault="006819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72" w:rsidRDefault="00681972" w:rsidP="00932008">
      <w:pPr>
        <w:spacing w:after="0" w:line="240" w:lineRule="auto"/>
      </w:pPr>
      <w:r>
        <w:separator/>
      </w:r>
    </w:p>
  </w:footnote>
  <w:footnote w:type="continuationSeparator" w:id="0">
    <w:p w:rsidR="00681972" w:rsidRDefault="0068197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2" w:rsidRDefault="006819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2" w:rsidRDefault="006819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72" w:rsidRDefault="006819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00A1D"/>
    <w:multiLevelType w:val="hybridMultilevel"/>
    <w:tmpl w:val="390847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E70080E"/>
    <w:multiLevelType w:val="hybridMultilevel"/>
    <w:tmpl w:val="13F0226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0D0DBC"/>
    <w:rsid w:val="00102733"/>
    <w:rsid w:val="00121C30"/>
    <w:rsid w:val="001561A4"/>
    <w:rsid w:val="001B614A"/>
    <w:rsid w:val="002513DC"/>
    <w:rsid w:val="002A154B"/>
    <w:rsid w:val="002A3BD9"/>
    <w:rsid w:val="002F7B35"/>
    <w:rsid w:val="00313998"/>
    <w:rsid w:val="00316B14"/>
    <w:rsid w:val="00396CC7"/>
    <w:rsid w:val="003E05A2"/>
    <w:rsid w:val="003F271E"/>
    <w:rsid w:val="003F572A"/>
    <w:rsid w:val="00453F46"/>
    <w:rsid w:val="004E62BB"/>
    <w:rsid w:val="004F2655"/>
    <w:rsid w:val="00521DA9"/>
    <w:rsid w:val="00535291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81972"/>
    <w:rsid w:val="006A2766"/>
    <w:rsid w:val="00710031"/>
    <w:rsid w:val="00743756"/>
    <w:rsid w:val="007B0F99"/>
    <w:rsid w:val="007C58EF"/>
    <w:rsid w:val="00803B81"/>
    <w:rsid w:val="00843911"/>
    <w:rsid w:val="00844FA9"/>
    <w:rsid w:val="008C1E1E"/>
    <w:rsid w:val="008F6192"/>
    <w:rsid w:val="00932008"/>
    <w:rsid w:val="009609E9"/>
    <w:rsid w:val="009E1D68"/>
    <w:rsid w:val="00A25C7E"/>
    <w:rsid w:val="00A8146B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C2365"/>
    <w:rsid w:val="00BD4582"/>
    <w:rsid w:val="00BE6A46"/>
    <w:rsid w:val="00C07F32"/>
    <w:rsid w:val="00C33A23"/>
    <w:rsid w:val="00C43711"/>
    <w:rsid w:val="00C56F44"/>
    <w:rsid w:val="00C5744D"/>
    <w:rsid w:val="00C6421F"/>
    <w:rsid w:val="00C72369"/>
    <w:rsid w:val="00CB5511"/>
    <w:rsid w:val="00CC2049"/>
    <w:rsid w:val="00CF038E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9012E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E90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E9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6860"/>
    <w:rsid w:val="00363EF3"/>
    <w:rsid w:val="003D088C"/>
    <w:rsid w:val="005C20CE"/>
    <w:rsid w:val="008A5650"/>
    <w:rsid w:val="008C63AF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51055-CA70-4C31-A699-607772C1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17</TotalTime>
  <Pages>9</Pages>
  <Words>1794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2021-11-16T09:13:00Z</dcterms:created>
  <dcterms:modified xsi:type="dcterms:W3CDTF">2022-01-12T10:31:00Z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