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608FA" w:rsidRPr="00006957" w:rsidRDefault="00D608F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608FA" w:rsidRPr="00006957" w:rsidRDefault="00D608F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08FA" w:rsidRDefault="00D608F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608FA" w:rsidRDefault="00D608F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DE6270" w:rsidRPr="00CB5511" w:rsidTr="00BB6799">
        <w:tc>
          <w:tcPr>
            <w:tcW w:w="3652" w:type="dxa"/>
          </w:tcPr>
          <w:p w:rsidR="00DE6270" w:rsidRPr="00E34195" w:rsidRDefault="00DE627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DE6270" w:rsidRPr="00A66879" w:rsidRDefault="00DE6270" w:rsidP="009E3355">
            <w:r w:rsidRPr="00A66879">
              <w:t>FUNDACION Pablo Iglesias</w:t>
            </w:r>
          </w:p>
        </w:tc>
      </w:tr>
      <w:tr w:rsidR="00DE6270" w:rsidRPr="00CB5511" w:rsidTr="00BB6799">
        <w:tc>
          <w:tcPr>
            <w:tcW w:w="3652" w:type="dxa"/>
          </w:tcPr>
          <w:p w:rsidR="00DE6270" w:rsidRPr="00E34195" w:rsidRDefault="00DE627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DE6270" w:rsidRPr="00A66879" w:rsidRDefault="00DE6270" w:rsidP="009E3355">
            <w:r w:rsidRPr="00A66879">
              <w:t>1 de octubre de 2021</w:t>
            </w:r>
          </w:p>
        </w:tc>
      </w:tr>
      <w:tr w:rsidR="00DE6270" w:rsidRPr="00CB5511" w:rsidTr="00BB6799">
        <w:tc>
          <w:tcPr>
            <w:tcW w:w="3652" w:type="dxa"/>
          </w:tcPr>
          <w:p w:rsidR="00DE6270" w:rsidRPr="00E34195" w:rsidRDefault="00DE6270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DE6270" w:rsidRDefault="00DE6270" w:rsidP="009E3355">
            <w:r w:rsidRPr="00A66879">
              <w:t>https://fpabloiglesias.es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975A8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91181D" w:rsidP="0091181D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FUNDACIÓN PABLO IGLESIAS</w:t>
            </w:r>
            <w:r w:rsidR="00AA145C">
              <w:rPr>
                <w:sz w:val="20"/>
                <w:szCs w:val="20"/>
              </w:rPr>
              <w:t xml:space="preserve"> cuenta con un Portal de Transparencia </w:t>
            </w:r>
            <w:r>
              <w:rPr>
                <w:sz w:val="20"/>
                <w:szCs w:val="20"/>
              </w:rPr>
              <w:t>localizable</w:t>
            </w:r>
            <w:r w:rsidR="00FA36CD">
              <w:rPr>
                <w:sz w:val="20"/>
                <w:szCs w:val="20"/>
              </w:rPr>
              <w:t xml:space="preserve"> a través d</w:t>
            </w:r>
            <w:r w:rsidR="00AA145C">
              <w:rPr>
                <w:sz w:val="20"/>
                <w:szCs w:val="20"/>
              </w:rPr>
              <w:t>el acceso “</w:t>
            </w:r>
            <w:r>
              <w:rPr>
                <w:sz w:val="20"/>
                <w:szCs w:val="20"/>
              </w:rPr>
              <w:t>Nosotros</w:t>
            </w:r>
            <w:r w:rsidR="00AA145C">
              <w:rPr>
                <w:sz w:val="20"/>
                <w:szCs w:val="20"/>
              </w:rPr>
              <w:t>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B1007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AA145C" w:rsidP="0091181D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Aunque la información está organizada no se ajusta al patrón definido por la LTAIBG. </w:t>
            </w:r>
            <w:r w:rsidR="0091181D">
              <w:rPr>
                <w:sz w:val="20"/>
                <w:szCs w:val="20"/>
              </w:rPr>
              <w:t>Toda</w:t>
            </w:r>
            <w:r>
              <w:rPr>
                <w:sz w:val="20"/>
                <w:szCs w:val="20"/>
              </w:rPr>
              <w:t xml:space="preserve"> la información del bloque Institucional y Organizativa se localiza fuera del Portal de Transparencia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AA145C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91181D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  <w:r w:rsidRPr="0091181D">
        <w:rPr>
          <w:rFonts w:ascii="Arial" w:eastAsia="Times New Roman" w:hAnsi="Arial" w:cs="Arial"/>
          <w:noProof/>
          <w:color w:val="202124"/>
        </w:rPr>
        <w:drawing>
          <wp:inline distT="0" distB="0" distL="0" distR="0" wp14:anchorId="6FC62310" wp14:editId="7BBC6570">
            <wp:extent cx="6666203" cy="338137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8467" cy="338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0F461D" w:rsidP="00BE4A59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C815AB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BE4A59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0F461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A4727" w:rsidP="00C815AB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E6626E">
            <w:pPr>
              <w:pStyle w:val="Cuerpodelboletn"/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F461D" w:rsidP="00C815AB">
            <w:pPr>
              <w:pStyle w:val="Cuerpodelboletn"/>
              <w:spacing w:before="5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5509B0">
            <w:pPr>
              <w:pStyle w:val="Cuerpodelboletn"/>
              <w:spacing w:before="4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FA" w:rsidRDefault="00D608F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608FA" w:rsidRPr="00ED29AA" w:rsidRDefault="00D608FA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0F461D" w:rsidRDefault="000F461D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 normativa aplicable a la Fundación (Estatutos y normas de carácter general que regulan su actividad)</w:t>
                            </w:r>
                          </w:p>
                          <w:p w:rsidR="00D608FA" w:rsidRDefault="00D608FA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su estructura organizativa </w:t>
                            </w:r>
                          </w:p>
                          <w:p w:rsidR="000F461D" w:rsidRDefault="000F461D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un organigrama de la Fundación</w:t>
                            </w:r>
                          </w:p>
                          <w:p w:rsidR="00D608FA" w:rsidRPr="002301DB" w:rsidRDefault="00D608FA" w:rsidP="00BE4A59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08FA" w:rsidRDefault="00D608FA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608FA" w:rsidRDefault="00D608FA" w:rsidP="00BE4A5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D608FA" w:rsidRPr="00BD4582" w:rsidRDefault="00D608FA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608FA" w:rsidRDefault="00D608F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608FA" w:rsidRPr="00ED29AA" w:rsidRDefault="00D608FA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0F461D" w:rsidRDefault="000F461D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 normativa aplicable a la Fundación (Estatutos y normas de carácter general que regulan su actividad)</w:t>
                      </w:r>
                    </w:p>
                    <w:p w:rsidR="00D608FA" w:rsidRDefault="00D608FA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su estructura organizativa </w:t>
                      </w:r>
                    </w:p>
                    <w:p w:rsidR="000F461D" w:rsidRDefault="000F461D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un organigrama de la Fundación</w:t>
                      </w:r>
                    </w:p>
                    <w:p w:rsidR="00D608FA" w:rsidRPr="002301DB" w:rsidRDefault="00D608FA" w:rsidP="00BE4A59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608FA" w:rsidRDefault="00D608FA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608FA" w:rsidRDefault="00D608FA" w:rsidP="00BE4A59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D608FA" w:rsidRPr="00BD4582" w:rsidRDefault="00D608FA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C815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C815A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D608F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5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35F79" w:rsidRPr="00BE4A59" w:rsidRDefault="00D608FA" w:rsidP="00D608FA">
            <w:pPr>
              <w:pStyle w:val="Cuerpodelboletn"/>
              <w:spacing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0F461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0F461D" w:rsidP="000F461D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44DED" w:rsidRPr="00CB5511" w:rsidTr="00D608FA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F0D69" w:rsidP="00C815AB">
            <w:pPr>
              <w:pStyle w:val="Cuerpodelboletn"/>
              <w:spacing w:before="4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D44DED" w:rsidP="00D608FA">
            <w:pPr>
              <w:pStyle w:val="Cuerpodelboletn"/>
              <w:spacing w:before="1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C815A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F0D69" w:rsidP="00C815AB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D44DED" w:rsidP="00D44DED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C815A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BE4A59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F46882" w:rsidP="00D608F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FA" w:rsidRDefault="00D608F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608FA" w:rsidRPr="00ED29AA" w:rsidRDefault="00D608FA" w:rsidP="0055361C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 w:rsidR="000F461D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0F461D" w:rsidRPr="00D508D0" w:rsidRDefault="000F461D" w:rsidP="000F461D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adjudicación.</w:t>
                            </w:r>
                          </w:p>
                          <w:p w:rsidR="000F461D" w:rsidRPr="00D508D0" w:rsidRDefault="000F461D" w:rsidP="000F461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0F461D" w:rsidRPr="00D508D0" w:rsidRDefault="000F461D" w:rsidP="000F461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:rsidR="000F461D" w:rsidRPr="000F461D" w:rsidRDefault="000F461D" w:rsidP="000F461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0F461D" w:rsidRPr="00D508D0" w:rsidRDefault="000F461D" w:rsidP="000F461D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D608FA" w:rsidRDefault="00D608FA" w:rsidP="00C33A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608FA" w:rsidRDefault="00D608FA" w:rsidP="00D608FA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D608FA" w:rsidRDefault="00D608FA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608FA" w:rsidRDefault="00D608FA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608FA" w:rsidRPr="00ED29AA" w:rsidRDefault="00D608FA" w:rsidP="0055361C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 w:rsidR="000F461D"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0F461D" w:rsidRPr="00D508D0" w:rsidRDefault="000F461D" w:rsidP="000F461D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adjudicación.</w:t>
                      </w:r>
                    </w:p>
                    <w:p w:rsidR="000F461D" w:rsidRPr="00D508D0" w:rsidRDefault="000F461D" w:rsidP="000F461D">
                      <w:pPr>
                        <w:numPr>
                          <w:ilvl w:val="0"/>
                          <w:numId w:val="5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0F461D" w:rsidRPr="00D508D0" w:rsidRDefault="000F461D" w:rsidP="000F461D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publica el presupuesto</w:t>
                      </w:r>
                    </w:p>
                    <w:p w:rsidR="000F461D" w:rsidRPr="000F461D" w:rsidRDefault="000F461D" w:rsidP="000F461D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0F461D" w:rsidRPr="00D508D0" w:rsidRDefault="000F461D" w:rsidP="000F461D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D608FA" w:rsidRDefault="00D608FA" w:rsidP="00C33A2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608FA" w:rsidRDefault="00D608FA" w:rsidP="00D608FA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D608FA" w:rsidRDefault="00D608FA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608FA" w:rsidRDefault="00D608FA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608FA" w:rsidRDefault="00D608FA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608FA" w:rsidRDefault="00D608FA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723A7" w:rsidRPr="00FD0689" w:rsidTr="00372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723A7" w:rsidRPr="00FD0689" w:rsidRDefault="003723A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7E1">
              <w:t>50,0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7E1">
              <w:t>50,0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7E1">
              <w:t>50,0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7E1">
              <w:t>50,0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7E1">
              <w:t>50,0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7E1">
              <w:t>50,0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7E1">
              <w:t>0,0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7E1">
              <w:t>42,9</w:t>
            </w:r>
          </w:p>
        </w:tc>
      </w:tr>
      <w:tr w:rsidR="003723A7" w:rsidRPr="00FD0689" w:rsidTr="003723A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723A7" w:rsidRPr="00FD0689" w:rsidRDefault="003723A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7E1">
              <w:t>25,0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7E1">
              <w:t>25,0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7E1">
              <w:t>25,0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7E1">
              <w:t>25,0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7E1">
              <w:t>25,0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7E1">
              <w:t>25,0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7E1">
              <w:t>25,0</w:t>
            </w:r>
          </w:p>
        </w:tc>
        <w:tc>
          <w:tcPr>
            <w:tcW w:w="0" w:type="auto"/>
            <w:noWrap/>
            <w:vAlign w:val="center"/>
          </w:tcPr>
          <w:p w:rsidR="003723A7" w:rsidRPr="00E357E1" w:rsidRDefault="003723A7" w:rsidP="0037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7E1">
              <w:t>25,0</w:t>
            </w:r>
          </w:p>
        </w:tc>
      </w:tr>
      <w:tr w:rsidR="003723A7" w:rsidRPr="00A94BCA" w:rsidTr="00372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723A7" w:rsidRPr="002A154B" w:rsidRDefault="003723A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23A7" w:rsidRPr="003723A7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23A7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723A7" w:rsidRPr="003723A7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23A7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723A7" w:rsidRPr="003723A7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23A7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723A7" w:rsidRPr="003723A7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23A7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723A7" w:rsidRPr="003723A7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23A7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723A7" w:rsidRPr="003723A7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23A7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723A7" w:rsidRPr="003723A7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23A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723A7" w:rsidRPr="003723A7" w:rsidRDefault="003723A7" w:rsidP="0037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23A7">
              <w:rPr>
                <w:b/>
                <w:i/>
              </w:rPr>
              <w:t>32,7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Pr="00BF1400" w:rsidRDefault="00C72FDC" w:rsidP="00C72FDC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3723A7">
        <w:rPr>
          <w:color w:val="000000"/>
          <w:szCs w:val="24"/>
        </w:rPr>
        <w:t>32,7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3723A7">
        <w:rPr>
          <w:color w:val="000000"/>
          <w:szCs w:val="24"/>
        </w:rPr>
        <w:t>35,7</w:t>
      </w:r>
      <w:r w:rsidR="00DC2231">
        <w:rPr>
          <w:color w:val="000000"/>
          <w:szCs w:val="24"/>
        </w:rPr>
        <w:t>% de ellos</w:t>
      </w:r>
      <w:r w:rsidR="003723A7">
        <w:rPr>
          <w:color w:val="000000"/>
          <w:szCs w:val="24"/>
        </w:rPr>
        <w:t xml:space="preserve">, </w:t>
      </w:r>
      <w:r w:rsidR="003723A7" w:rsidRPr="00341D36">
        <w:rPr>
          <w:color w:val="000000"/>
          <w:szCs w:val="24"/>
        </w:rPr>
        <w:t xml:space="preserve">situación que se da en relación con la </w:t>
      </w:r>
      <w:r w:rsidR="003723A7">
        <w:rPr>
          <w:color w:val="000000"/>
          <w:szCs w:val="24"/>
        </w:rPr>
        <w:t>mayoría</w:t>
      </w:r>
      <w:r w:rsidR="003723A7" w:rsidRPr="00341D36">
        <w:rPr>
          <w:color w:val="000000"/>
          <w:szCs w:val="24"/>
        </w:rPr>
        <w:t xml:space="preserve"> de las informaciones del bloque de información económica</w:t>
      </w:r>
      <w:r w:rsidR="00DC2231"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Default="00C72FDC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382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FA" w:rsidRDefault="00D608F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608FA" w:rsidRDefault="003723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 Pablo Iglesias</w:t>
                            </w:r>
                            <w:r w:rsidR="00D608FA">
                              <w:rPr>
                                <w:sz w:val="20"/>
                                <w:szCs w:val="20"/>
                              </w:rPr>
                              <w:t xml:space="preserve"> publica informaciones adicionales a las obligatorias que son relevantes respecto de la transparencia de la organización. Así se publica:</w:t>
                            </w:r>
                          </w:p>
                          <w:p w:rsidR="00D608FA" w:rsidRPr="003723A7" w:rsidRDefault="00D608FA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723A7">
                              <w:rPr>
                                <w:sz w:val="20"/>
                                <w:szCs w:val="20"/>
                              </w:rPr>
                              <w:t>Las Memorias anuales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7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">
                <v:textbox>
                  <w:txbxContent>
                    <w:p w:rsidR="00D608FA" w:rsidRDefault="00D608F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608FA" w:rsidRDefault="003723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 Pablo Iglesias</w:t>
                      </w:r>
                      <w:r w:rsidR="00D608FA">
                        <w:rPr>
                          <w:sz w:val="20"/>
                          <w:szCs w:val="20"/>
                        </w:rPr>
                        <w:t xml:space="preserve"> publica informaciones adicionales a las obligatorias que son relevantes respecto de la transparencia de la organización. Así se publica:</w:t>
                      </w:r>
                    </w:p>
                    <w:p w:rsidR="00D608FA" w:rsidRPr="003723A7" w:rsidRDefault="00D608FA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3723A7">
                        <w:rPr>
                          <w:sz w:val="20"/>
                          <w:szCs w:val="20"/>
                        </w:rPr>
                        <w:t>Las Memorias anuales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8890</wp:posOffset>
                </wp:positionV>
                <wp:extent cx="6264910" cy="1403985"/>
                <wp:effectExtent l="0" t="0" r="2159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FA" w:rsidRDefault="00D608F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608FA" w:rsidRDefault="00D608FA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3723A7">
                              <w:rPr>
                                <w:sz w:val="20"/>
                                <w:szCs w:val="20"/>
                              </w:rPr>
                              <w:t xml:space="preserve">la Fundación Pablo Iglesias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podrían aplicarse por otras organizaciones sujetas a obligaciones de publicidad activa, cabe mencionar:</w:t>
                            </w:r>
                          </w:p>
                          <w:p w:rsidR="00D608FA" w:rsidRPr="00B95A56" w:rsidRDefault="00D608FA" w:rsidP="002A15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">
                <v:textbox style="mso-fit-shape-to-text:t">
                  <w:txbxContent>
                    <w:p w:rsidR="00D608FA" w:rsidRDefault="00D608F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608FA" w:rsidRDefault="00D608FA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 xml:space="preserve">de </w:t>
                      </w:r>
                      <w:r w:rsidR="003723A7">
                        <w:rPr>
                          <w:sz w:val="20"/>
                          <w:szCs w:val="20"/>
                        </w:rPr>
                        <w:t>l</w:t>
                      </w:r>
                      <w:r w:rsidR="003723A7">
                        <w:rPr>
                          <w:sz w:val="20"/>
                          <w:szCs w:val="20"/>
                        </w:rPr>
                        <w:t xml:space="preserve">a Fundación Pablo Iglesias </w:t>
                      </w:r>
                      <w:r>
                        <w:rPr>
                          <w:sz w:val="20"/>
                          <w:szCs w:val="20"/>
                        </w:rPr>
                        <w:t>que podrían aplicarse por otras organizaciones sujetas a obligaciones de publicidad activa, cabe mencionar:</w:t>
                      </w:r>
                    </w:p>
                    <w:p w:rsidR="00D608FA" w:rsidRPr="00B95A56" w:rsidRDefault="00D608FA" w:rsidP="002A15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color w:val="00642D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3723A7">
        <w:rPr>
          <w:rFonts w:eastAsia="Times New Roman" w:cs="Times New Roman"/>
        </w:rPr>
        <w:t>la</w:t>
      </w:r>
      <w:r w:rsidR="0091181D">
        <w:rPr>
          <w:rFonts w:eastAsia="Times New Roman" w:cs="Times New Roman"/>
        </w:rPr>
        <w:t xml:space="preserve"> FUNDACIÓN PABLO IGLESIAS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3723A7">
        <w:rPr>
          <w:color w:val="000000"/>
          <w:szCs w:val="24"/>
        </w:rPr>
        <w:t>32,7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3723A7">
        <w:rPr>
          <w:rFonts w:eastAsia="Times New Roman" w:cs="Times New Roman"/>
        </w:rPr>
        <w:t>la</w:t>
      </w:r>
      <w:r w:rsidR="0091181D">
        <w:rPr>
          <w:rFonts w:eastAsia="Times New Roman" w:cs="Times New Roman"/>
        </w:rPr>
        <w:t xml:space="preserve"> FUNDACIÓN PABLO IGLESIAS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CB39E9" w:rsidRPr="00BF1400" w:rsidRDefault="00CB39E9" w:rsidP="00CB39E9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>de la Fundación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 w:rsidR="003723A7"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="Times New Roman" w:cs="Arial"/>
        </w:rPr>
        <w:t>la Fundación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723A7" w:rsidRPr="003723A7" w:rsidRDefault="003723A7" w:rsidP="003723A7">
      <w:pPr>
        <w:pStyle w:val="Prrafodelista"/>
        <w:numPr>
          <w:ilvl w:val="0"/>
          <w:numId w:val="11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sobre las subvenciones y ayudas públicas percibidas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Debe publicarse </w:t>
      </w:r>
      <w:r w:rsidR="00A14322">
        <w:rPr>
          <w:rFonts w:eastAsia="Times New Roman" w:cs="Arial"/>
          <w:bCs/>
          <w:szCs w:val="36"/>
        </w:rPr>
        <w:t>información sobre los presupuestos de la Fundación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CB39E9" w:rsidRPr="00BF1400" w:rsidRDefault="00CB39E9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 w:rsidR="00A14322"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975A8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FA" w:rsidRDefault="00D608FA" w:rsidP="00932008">
      <w:pPr>
        <w:spacing w:after="0" w:line="240" w:lineRule="auto"/>
      </w:pPr>
      <w:r>
        <w:separator/>
      </w:r>
    </w:p>
  </w:endnote>
  <w:endnote w:type="continuationSeparator" w:id="0">
    <w:p w:rsidR="00D608FA" w:rsidRDefault="00D608F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FA" w:rsidRDefault="00D608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FA" w:rsidRDefault="00D608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FA" w:rsidRDefault="00D608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FA" w:rsidRDefault="00D608FA" w:rsidP="00932008">
      <w:pPr>
        <w:spacing w:after="0" w:line="240" w:lineRule="auto"/>
      </w:pPr>
      <w:r>
        <w:separator/>
      </w:r>
    </w:p>
  </w:footnote>
  <w:footnote w:type="continuationSeparator" w:id="0">
    <w:p w:rsidR="00D608FA" w:rsidRDefault="00D608F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FA" w:rsidRDefault="00D608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FA" w:rsidRDefault="00D608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FA" w:rsidRDefault="00D608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666A"/>
    <w:rsid w:val="000965B3"/>
    <w:rsid w:val="000C6CFF"/>
    <w:rsid w:val="000F461D"/>
    <w:rsid w:val="00102733"/>
    <w:rsid w:val="00106FDA"/>
    <w:rsid w:val="00121C30"/>
    <w:rsid w:val="001561A4"/>
    <w:rsid w:val="001B614A"/>
    <w:rsid w:val="002513DC"/>
    <w:rsid w:val="00265501"/>
    <w:rsid w:val="002A154B"/>
    <w:rsid w:val="002A3BD9"/>
    <w:rsid w:val="00316B14"/>
    <w:rsid w:val="003723A7"/>
    <w:rsid w:val="00396CC7"/>
    <w:rsid w:val="003F271E"/>
    <w:rsid w:val="003F572A"/>
    <w:rsid w:val="00405EFB"/>
    <w:rsid w:val="004F160A"/>
    <w:rsid w:val="004F2655"/>
    <w:rsid w:val="00521DA9"/>
    <w:rsid w:val="00544E0C"/>
    <w:rsid w:val="005509B0"/>
    <w:rsid w:val="0055361C"/>
    <w:rsid w:val="0056132B"/>
    <w:rsid w:val="00561402"/>
    <w:rsid w:val="0057532F"/>
    <w:rsid w:val="005A426D"/>
    <w:rsid w:val="005B13BD"/>
    <w:rsid w:val="005B6CF5"/>
    <w:rsid w:val="005F29B8"/>
    <w:rsid w:val="0060765F"/>
    <w:rsid w:val="006331DA"/>
    <w:rsid w:val="006A2766"/>
    <w:rsid w:val="006D4821"/>
    <w:rsid w:val="00710031"/>
    <w:rsid w:val="00712E28"/>
    <w:rsid w:val="00743756"/>
    <w:rsid w:val="007B0F99"/>
    <w:rsid w:val="0081799F"/>
    <w:rsid w:val="00843911"/>
    <w:rsid w:val="00844FA9"/>
    <w:rsid w:val="008C1E1E"/>
    <w:rsid w:val="008F6192"/>
    <w:rsid w:val="0091181D"/>
    <w:rsid w:val="00932008"/>
    <w:rsid w:val="009609E9"/>
    <w:rsid w:val="00975A8C"/>
    <w:rsid w:val="009A5971"/>
    <w:rsid w:val="009E1D68"/>
    <w:rsid w:val="00A14322"/>
    <w:rsid w:val="00A8146B"/>
    <w:rsid w:val="00AA145C"/>
    <w:rsid w:val="00AC4F51"/>
    <w:rsid w:val="00AD2022"/>
    <w:rsid w:val="00AD2591"/>
    <w:rsid w:val="00AF6C05"/>
    <w:rsid w:val="00B0673F"/>
    <w:rsid w:val="00B1007E"/>
    <w:rsid w:val="00B40246"/>
    <w:rsid w:val="00B74887"/>
    <w:rsid w:val="00B755E7"/>
    <w:rsid w:val="00B841AE"/>
    <w:rsid w:val="00B95A56"/>
    <w:rsid w:val="00BB6799"/>
    <w:rsid w:val="00BD4582"/>
    <w:rsid w:val="00BE4A59"/>
    <w:rsid w:val="00BE6A46"/>
    <w:rsid w:val="00C33A23"/>
    <w:rsid w:val="00C43711"/>
    <w:rsid w:val="00C56F44"/>
    <w:rsid w:val="00C5744D"/>
    <w:rsid w:val="00C72FDC"/>
    <w:rsid w:val="00C773BF"/>
    <w:rsid w:val="00C815AB"/>
    <w:rsid w:val="00CB39E9"/>
    <w:rsid w:val="00CB5511"/>
    <w:rsid w:val="00CC2049"/>
    <w:rsid w:val="00CD49F3"/>
    <w:rsid w:val="00D17F0A"/>
    <w:rsid w:val="00D22945"/>
    <w:rsid w:val="00D44DED"/>
    <w:rsid w:val="00D53AEE"/>
    <w:rsid w:val="00D608FA"/>
    <w:rsid w:val="00D92C9B"/>
    <w:rsid w:val="00D96F84"/>
    <w:rsid w:val="00DB1415"/>
    <w:rsid w:val="00DB7B8C"/>
    <w:rsid w:val="00DC2231"/>
    <w:rsid w:val="00DD5439"/>
    <w:rsid w:val="00DD58B3"/>
    <w:rsid w:val="00DE6270"/>
    <w:rsid w:val="00DF0D69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62BAF"/>
    <w:rsid w:val="00F71D7D"/>
    <w:rsid w:val="00F86BF2"/>
    <w:rsid w:val="00FA36CD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B64B71"/>
    <w:rsid w:val="00BF2C04"/>
    <w:rsid w:val="00D1312C"/>
    <w:rsid w:val="00D35513"/>
    <w:rsid w:val="00D56B8E"/>
    <w:rsid w:val="00DB51FE"/>
    <w:rsid w:val="00DC084A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892B7-30C8-4D41-94CF-38032FF4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48</TotalTime>
  <Pages>9</Pages>
  <Words>1777</Words>
  <Characters>9777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8</cp:revision>
  <cp:lastPrinted>2007-10-26T10:03:00Z</cp:lastPrinted>
  <dcterms:created xsi:type="dcterms:W3CDTF">2021-11-18T09:35:00Z</dcterms:created>
  <dcterms:modified xsi:type="dcterms:W3CDTF">2022-01-12T11:20:00Z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