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252DE" w:rsidRPr="00006957" w:rsidRDefault="005252D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252DE" w:rsidRPr="00006957" w:rsidRDefault="005252D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52DE" w:rsidRDefault="005252D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C235B" w:rsidRDefault="009C235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C1611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GS INIMA ENVIRONMENT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B1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513DC">
              <w:rPr>
                <w:sz w:val="24"/>
                <w:szCs w:val="24"/>
              </w:rPr>
              <w:t xml:space="preserve"> de septiembre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C1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8C1611">
              <w:rPr>
                <w:sz w:val="24"/>
                <w:szCs w:val="24"/>
              </w:rPr>
              <w:t>ttps://inima.com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412571">
        <w:tc>
          <w:tcPr>
            <w:tcW w:w="1760" w:type="dxa"/>
            <w:shd w:val="clear" w:color="auto" w:fill="4D7F52"/>
          </w:tcPr>
          <w:p w:rsidR="00C43711" w:rsidRPr="00F14DA4" w:rsidRDefault="00C43711" w:rsidP="0041257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41257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41257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41257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412571">
        <w:tc>
          <w:tcPr>
            <w:tcW w:w="1760" w:type="dxa"/>
          </w:tcPr>
          <w:p w:rsidR="002A3BD9" w:rsidRDefault="002A3BD9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12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12571">
        <w:tc>
          <w:tcPr>
            <w:tcW w:w="1760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41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412571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1257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1257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1257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1257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1257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41257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1257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6277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4E250B" w:rsidRDefault="003C2B4F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GS </w:t>
            </w:r>
            <w:r w:rsidR="004E250B" w:rsidRPr="004E250B">
              <w:rPr>
                <w:bCs/>
                <w:sz w:val="20"/>
                <w:szCs w:val="20"/>
              </w:rPr>
              <w:t>INIMA</w:t>
            </w:r>
            <w:r w:rsidR="004E250B">
              <w:rPr>
                <w:bCs/>
                <w:sz w:val="20"/>
                <w:szCs w:val="20"/>
              </w:rPr>
              <w:t xml:space="preserve"> no dispone de ningún espacio específico en su ¡web institucional para la publicación de las informaciones sujetas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0E178E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4E250B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0E178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0E17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C235B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93BF1" w:rsidRDefault="00E34195" w:rsidP="00393BF1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C235B" w:rsidRPr="00CB5511" w:rsidTr="009C235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C235B" w:rsidRPr="00E34195" w:rsidRDefault="009C235B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Default="009C235B" w:rsidP="009C235B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C235B" w:rsidRPr="00CB5511" w:rsidTr="009C235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E34195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Default="009C235B" w:rsidP="009C235B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C235B" w:rsidRPr="00CB5511" w:rsidTr="009C235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E34195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Default="009C235B" w:rsidP="009C235B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C235B" w:rsidRPr="00CB5511" w:rsidTr="009C235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E34195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Pr="00CB5511" w:rsidRDefault="009C235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Default="009C235B" w:rsidP="009C235B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DE" w:rsidRDefault="005252D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52DE" w:rsidRPr="00123EDB" w:rsidRDefault="005252DE" w:rsidP="009C235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5252DE" w:rsidRPr="00123EDB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5252DE" w:rsidRPr="00123EDB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5252DE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5252DE" w:rsidRPr="00123EDB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5252DE" w:rsidRPr="00123EDB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5252DE" w:rsidRPr="00123EDB" w:rsidRDefault="005252DE" w:rsidP="009C235B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52DE" w:rsidRPr="00123EDB" w:rsidRDefault="005252DE" w:rsidP="009C235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52DE" w:rsidRPr="001E6BEB" w:rsidRDefault="005252DE" w:rsidP="009C235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C235B" w:rsidRDefault="009C235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C235B" w:rsidRPr="00123EDB" w:rsidRDefault="009C235B" w:rsidP="009C235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9C235B" w:rsidRPr="00123EDB" w:rsidRDefault="009C235B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9C235B" w:rsidRPr="00123EDB" w:rsidRDefault="009C235B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9C235B" w:rsidRDefault="009C235B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9C235B" w:rsidRPr="00123EDB" w:rsidRDefault="009C235B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9C235B" w:rsidRPr="00123EDB" w:rsidRDefault="009C235B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9C235B" w:rsidRPr="00123EDB" w:rsidRDefault="009C235B" w:rsidP="009C235B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C235B" w:rsidRPr="00123EDB" w:rsidRDefault="009C235B" w:rsidP="009C235B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C235B" w:rsidRPr="001E6BEB" w:rsidRDefault="009C235B" w:rsidP="009C235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25ED4" w:rsidRPr="00E34195" w:rsidTr="000E178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25ED4" w:rsidRPr="00E34195" w:rsidRDefault="00925ED4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25ED4" w:rsidRPr="00E34195" w:rsidRDefault="00925ED4" w:rsidP="000E178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25ED4" w:rsidRPr="00E34195" w:rsidRDefault="00925ED4" w:rsidP="00412571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25ED4" w:rsidRPr="00E34195" w:rsidRDefault="00925ED4" w:rsidP="000E17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25ED4" w:rsidRPr="00CB5511" w:rsidTr="009C235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25ED4" w:rsidRPr="00E34195" w:rsidRDefault="00925ED4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25ED4" w:rsidRPr="00CB5511" w:rsidRDefault="00925ED4" w:rsidP="00AA131A">
            <w:pPr>
              <w:spacing w:before="120" w:after="4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25ED4" w:rsidRPr="00CB5511" w:rsidRDefault="000E178E" w:rsidP="009C235B">
            <w:pPr>
              <w:pStyle w:val="Cuerpodelboletn"/>
              <w:spacing w:before="180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9764C" w:rsidRPr="00CB5511" w:rsidRDefault="009C235B" w:rsidP="009C235B">
            <w:pPr>
              <w:pStyle w:val="Cuerpodelboletn"/>
              <w:spacing w:after="60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Comunicación, enlace adjudicaciones</w:t>
            </w:r>
          </w:p>
        </w:tc>
      </w:tr>
      <w:tr w:rsidR="00925ED4" w:rsidRPr="00CB5511" w:rsidTr="009C235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25ED4" w:rsidRPr="00E34195" w:rsidRDefault="00925ED4" w:rsidP="00412571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25ED4" w:rsidRDefault="00925ED4" w:rsidP="00412571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25ED4" w:rsidRPr="00CB5511" w:rsidRDefault="009C235B" w:rsidP="009C235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25ED4" w:rsidRPr="00CB5511" w:rsidRDefault="009C235B" w:rsidP="009C235B">
            <w:pPr>
              <w:pStyle w:val="Cuerpodelboletn"/>
              <w:spacing w:before="420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</w:p>
        </w:tc>
      </w:tr>
      <w:tr w:rsidR="00925ED4" w:rsidRPr="00CB5511" w:rsidTr="009C235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25ED4" w:rsidRPr="00E34195" w:rsidRDefault="00925ED4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25ED4" w:rsidRPr="00CB5511" w:rsidRDefault="00925ED4" w:rsidP="00412571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25ED4" w:rsidRPr="00CB5511" w:rsidRDefault="00925ED4" w:rsidP="009C235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25ED4" w:rsidRPr="009C235B" w:rsidRDefault="009C235B" w:rsidP="009C235B">
            <w:pPr>
              <w:pStyle w:val="Cuerpodelboletn"/>
              <w:spacing w:before="5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25ED4" w:rsidRPr="00CB5511" w:rsidTr="009C235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25ED4" w:rsidRDefault="00925ED4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25ED4" w:rsidRDefault="00925ED4" w:rsidP="00412571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25ED4" w:rsidRPr="00CB5511" w:rsidRDefault="009C235B" w:rsidP="009C235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25ED4" w:rsidRPr="00412571" w:rsidRDefault="00412571" w:rsidP="009C235B">
            <w:pPr>
              <w:pStyle w:val="Cuerpodelboletn"/>
              <w:spacing w:before="660"/>
              <w:jc w:val="left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41257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Aunque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acceso Innovación se informa sobre proyectos subvencionados no se publica la cuantía de la subvención</w:t>
            </w:r>
          </w:p>
        </w:tc>
      </w:tr>
      <w:tr w:rsidR="009C235B" w:rsidRPr="00CB5511" w:rsidTr="009C235B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C235B" w:rsidRDefault="009C235B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Default="009C235B" w:rsidP="00412571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CB5511" w:rsidRDefault="009C235B" w:rsidP="009C235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9C235B" w:rsidRDefault="009C235B" w:rsidP="009C235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C235B" w:rsidRPr="00CB5511" w:rsidTr="009C235B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C235B" w:rsidRDefault="009C235B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Default="009C235B" w:rsidP="00412571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CB5511" w:rsidRDefault="009C235B" w:rsidP="009C235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9C235B" w:rsidRDefault="009C235B" w:rsidP="009C235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C235B" w:rsidRPr="00CB5511" w:rsidTr="009C235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C235B" w:rsidRDefault="009C235B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Default="009C235B" w:rsidP="00412571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CB5511" w:rsidRDefault="009C235B" w:rsidP="009C235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9C235B" w:rsidRDefault="009C235B" w:rsidP="009C235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C235B" w:rsidRPr="00CB5511" w:rsidTr="009C235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C235B" w:rsidRDefault="009C235B" w:rsidP="0041257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C235B" w:rsidRDefault="009C235B" w:rsidP="00412571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CB5511" w:rsidRDefault="009C235B" w:rsidP="009C235B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C235B" w:rsidRPr="009C235B" w:rsidRDefault="009C235B" w:rsidP="009C235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25ED4" w:rsidRDefault="00925ED4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DE" w:rsidRDefault="005252DE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52DE" w:rsidRPr="00123EDB" w:rsidRDefault="005252DE" w:rsidP="009C235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5252DE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>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5252DE" w:rsidRPr="009C235B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cuantía de las subvenciones concedidas por administraciones públicas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252DE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publica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 presupuesto</w:t>
                            </w:r>
                          </w:p>
                          <w:p w:rsidR="005252DE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:rsidR="005252DE" w:rsidRPr="00123EDB" w:rsidRDefault="005252DE" w:rsidP="009C235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5252DE" w:rsidRPr="009C235B" w:rsidRDefault="005252DE" w:rsidP="00BD458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5252DE" w:rsidRPr="009C235B" w:rsidRDefault="005252DE" w:rsidP="009C235B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252DE" w:rsidRPr="00BD4582" w:rsidRDefault="005252DE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52DE" w:rsidRDefault="005252DE" w:rsidP="00C33A2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52DE" w:rsidRDefault="005252DE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52DE" w:rsidRPr="00123EDB" w:rsidRDefault="005252DE" w:rsidP="009C235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5252DE" w:rsidRDefault="005252DE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 xml:space="preserve">los </w:t>
                      </w:r>
                      <w:r w:rsidRPr="009C235B">
                        <w:rPr>
                          <w:sz w:val="20"/>
                          <w:szCs w:val="20"/>
                        </w:rPr>
                        <w:t>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5252DE" w:rsidRPr="009C235B" w:rsidRDefault="005252DE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>la cuantía de las subvenciones concedidas por administraciones públicas</w:t>
                      </w:r>
                      <w:r w:rsidRPr="009C23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252DE" w:rsidRDefault="005252DE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publica </w:t>
                      </w:r>
                      <w:r>
                        <w:rPr>
                          <w:sz w:val="20"/>
                          <w:szCs w:val="20"/>
                        </w:rPr>
                        <w:t>el presupuesto</w:t>
                      </w:r>
                    </w:p>
                    <w:p w:rsidR="005252DE" w:rsidRDefault="005252DE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:rsidR="005252DE" w:rsidRPr="00123EDB" w:rsidRDefault="005252DE" w:rsidP="009C235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5252DE" w:rsidRPr="009C235B" w:rsidRDefault="005252DE" w:rsidP="00BD458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5252DE" w:rsidRPr="009C235B" w:rsidRDefault="005252DE" w:rsidP="009C235B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5252DE" w:rsidRPr="00BD4582" w:rsidRDefault="005252DE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252DE" w:rsidRDefault="005252DE" w:rsidP="00C33A2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9C235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9C235B" w:rsidRDefault="009C235B">
      <w:pPr>
        <w:rPr>
          <w:b/>
          <w:color w:val="50866C"/>
          <w:sz w:val="32"/>
        </w:rPr>
      </w:pPr>
    </w:p>
    <w:p w:rsidR="009C235B" w:rsidRDefault="009C235B">
      <w:pPr>
        <w:rPr>
          <w:b/>
          <w:color w:val="50866C"/>
          <w:sz w:val="32"/>
        </w:rPr>
      </w:pPr>
    </w:p>
    <w:p w:rsidR="009C235B" w:rsidRDefault="009C235B">
      <w:pPr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0B60C1" w:rsidRPr="00FD0689" w:rsidTr="000B6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B60C1" w:rsidRPr="00FD0689" w:rsidRDefault="000B60C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16,7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16,7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16,7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16,7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16,7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16,7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0,0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807">
              <w:t>14,3</w:t>
            </w:r>
          </w:p>
        </w:tc>
      </w:tr>
      <w:tr w:rsidR="000B60C1" w:rsidRPr="00FD0689" w:rsidTr="000B60C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B60C1" w:rsidRPr="00FD0689" w:rsidRDefault="000B60C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10,2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23,8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28,6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28,6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28,6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28,6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28,6</w:t>
            </w:r>
          </w:p>
        </w:tc>
        <w:tc>
          <w:tcPr>
            <w:tcW w:w="0" w:type="auto"/>
            <w:noWrap/>
            <w:vAlign w:val="center"/>
          </w:tcPr>
          <w:p w:rsidR="000B60C1" w:rsidRPr="00292807" w:rsidRDefault="000B60C1" w:rsidP="000B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807">
              <w:t>25,3</w:t>
            </w:r>
          </w:p>
        </w:tc>
      </w:tr>
      <w:tr w:rsidR="000B60C1" w:rsidRPr="00A94BCA" w:rsidTr="000B6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B60C1" w:rsidRPr="002A154B" w:rsidRDefault="000B60C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13,2</w:t>
            </w:r>
          </w:p>
        </w:tc>
        <w:tc>
          <w:tcPr>
            <w:tcW w:w="0" w:type="auto"/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20,5</w:t>
            </w:r>
          </w:p>
        </w:tc>
        <w:tc>
          <w:tcPr>
            <w:tcW w:w="0" w:type="auto"/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0B60C1" w:rsidRPr="000B60C1" w:rsidRDefault="000B60C1" w:rsidP="000B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B60C1">
              <w:rPr>
                <w:b/>
                <w:i/>
              </w:rPr>
              <w:t>20,2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0B60C1" w:rsidRPr="000B60C1" w:rsidRDefault="000B60C1" w:rsidP="000B60C1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0B60C1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20,2</w:t>
      </w:r>
      <w:r w:rsidRPr="000B60C1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13,2</w:t>
      </w:r>
      <w:r w:rsidRPr="000B60C1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CA299B" w:rsidRDefault="00CA299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DE" w:rsidRDefault="005252D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252DE" w:rsidRPr="00CA299B" w:rsidRDefault="005252DE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GS INIMA public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a información adicional a la obligatoria relevante desde el punto de vista de </w:t>
                            </w:r>
                            <w:proofErr w:type="gram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las transparencia</w:t>
                            </w:r>
                            <w:proofErr w:type="gram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de la organización. Así se publica:</w:t>
                            </w:r>
                          </w:p>
                          <w:p w:rsidR="005252DE" w:rsidRDefault="005252DE" w:rsidP="00CA299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El </w:t>
                            </w: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Código ético</w:t>
                            </w:r>
                          </w:p>
                          <w:p w:rsidR="005252DE" w:rsidRDefault="005252DE" w:rsidP="00CA299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Se informa sobre el</w:t>
                            </w: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canal de denuncia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</w:p>
                          <w:p w:rsidR="005252DE" w:rsidRDefault="005252DE" w:rsidP="00CA299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Se publica la </w:t>
                            </w: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norma de </w:t>
                            </w:r>
                            <w:proofErr w:type="spellStart"/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compliance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de la empresa</w:t>
                            </w:r>
                          </w:p>
                          <w:p w:rsidR="005252DE" w:rsidRPr="00CA299B" w:rsidRDefault="005252DE" w:rsidP="00CA299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Se publica un  informe de sostenibilidad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252DE" w:rsidRDefault="005252DE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252DE" w:rsidRPr="00CA299B" w:rsidRDefault="005252DE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GS INIMA public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a información adicional a la obligatoria relevante desde el punto de vista de </w:t>
                      </w:r>
                      <w:proofErr w:type="gram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las transparencia</w:t>
                      </w:r>
                      <w:proofErr w:type="gram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de la organización. Así se publica:</w:t>
                      </w:r>
                    </w:p>
                    <w:p w:rsidR="005252DE" w:rsidRDefault="005252DE" w:rsidP="00CA299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El </w:t>
                      </w: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Código ético</w:t>
                      </w:r>
                    </w:p>
                    <w:p w:rsidR="005252DE" w:rsidRDefault="005252DE" w:rsidP="00CA299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Se informa sobre el</w:t>
                      </w: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canal de denuncia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</w:p>
                    <w:p w:rsidR="005252DE" w:rsidRDefault="005252DE" w:rsidP="00CA299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Se publica la </w:t>
                      </w: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norma de </w:t>
                      </w:r>
                      <w:proofErr w:type="spellStart"/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compliance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de la empresa</w:t>
                      </w:r>
                    </w:p>
                    <w:p w:rsidR="005252DE" w:rsidRPr="00CA299B" w:rsidRDefault="005252DE" w:rsidP="00CA299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b/>
                          <w:color w:val="00642D"/>
                        </w:rPr>
                      </w:pP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Se publica un  informe de sostenibilidad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CA299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935C8" wp14:editId="0F511BE4">
                <wp:simplePos x="0" y="0"/>
                <wp:positionH relativeFrom="column">
                  <wp:posOffset>179705</wp:posOffset>
                </wp:positionH>
                <wp:positionV relativeFrom="paragraph">
                  <wp:posOffset>304165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DE" w:rsidRDefault="005252DE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252DE" w:rsidRPr="002A154B" w:rsidRDefault="005252DE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Dado que GS INIMA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carece de un Portal de Transparencia, no cabe reseñar buenas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.15pt;margin-top:23.9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HOKqlzeAAAACgEAAA8AAABkcnMvZG93bnJl&#10;di54bWxMj01vwjAMhu+T9h8iT9oFjYSvAl1TtCFx2okO7qHx2mqN0zUByr+fOW03W8+r14+zzeBa&#10;ccE+NJ40TMYKBFLpbUOVhsPn7mUFIkRD1rSeUMMNA2zyx4fMpNZfaY+XIlaCSyikRkMdY5dKGcoa&#10;nQlj3yEx+/K9M5HXvpK2N1cud62cKpVIZxriC7XpcFtj+V2cnYbkp5iNPo52RPvb7r0v3cJuDwut&#10;n5+Gt1cQEYf4F4a7PqtDzk4nfyYbRKthuppxUsN8uQZx52oy5+nEJFkrkHkm/7+Q/wI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Bziqpc3gAAAAoBAAAPAAAAAAAAAAAAAAAAAIUEAABk&#10;cnMvZG93bnJldi54bWxQSwUGAAAAAAQABADzAAAAkAUAAAAA&#10;">
                <v:textbox style="mso-fit-shape-to-text:t">
                  <w:txbxContent>
                    <w:p w:rsidR="009C235B" w:rsidRDefault="009C235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C235B" w:rsidRPr="002A154B" w:rsidRDefault="00CA299B" w:rsidP="002A154B">
                      <w:pPr>
                        <w:rPr>
                          <w:b/>
                          <w:color w:val="00642D"/>
                        </w:rPr>
                      </w:pP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Dado que GS INIMA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carece de un Portal de Transparencia, no cabe reseñar buenas prácticas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A299B" w:rsidRPr="001E6BEB" w:rsidRDefault="00CA299B" w:rsidP="00CA299B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GS INIMA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0B60C1" w:rsidRPr="000B60C1">
        <w:rPr>
          <w:rFonts w:eastAsia="Times New Roman" w:cs="Arial"/>
        </w:rPr>
        <w:t>20,2</w:t>
      </w:r>
      <w:r w:rsidRPr="000B60C1">
        <w:rPr>
          <w:rFonts w:eastAsia="Times New Roman" w:cs="Arial"/>
        </w:rPr>
        <w:t>%.</w:t>
      </w:r>
      <w:r w:rsidRPr="001E6BEB">
        <w:rPr>
          <w:rFonts w:eastAsia="Times New Roman" w:cs="Arial"/>
        </w:rPr>
        <w:t xml:space="preserve"> </w:t>
      </w:r>
    </w:p>
    <w:p w:rsidR="00CA299B" w:rsidRPr="001E6BEB" w:rsidRDefault="00CA299B" w:rsidP="00CA299B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GS INIMA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CA299B" w:rsidRPr="001E6BEB" w:rsidRDefault="00CA299B" w:rsidP="00CA299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A299B" w:rsidRPr="001E6BEB" w:rsidRDefault="00CA299B" w:rsidP="00CA299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A299B" w:rsidRPr="001E6BEB" w:rsidRDefault="00CA299B" w:rsidP="00CA299B">
      <w:pPr>
        <w:spacing w:before="120" w:after="120" w:line="312" w:lineRule="auto"/>
        <w:jc w:val="both"/>
      </w:pPr>
      <w:r>
        <w:rPr>
          <w:rFonts w:eastAsia="Times New Roman" w:cs="Arial"/>
        </w:rPr>
        <w:t>GS INIMA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CA299B" w:rsidRPr="001E6BEB" w:rsidRDefault="00CA299B" w:rsidP="00CA299B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CA299B" w:rsidRPr="001E6BEB" w:rsidRDefault="00CA299B" w:rsidP="00CA299B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A299B" w:rsidRDefault="00CA299B" w:rsidP="00CA299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A299B" w:rsidRPr="001E6BEB" w:rsidRDefault="00CA299B" w:rsidP="00CA299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CA299B" w:rsidRPr="001E6BEB" w:rsidRDefault="00CA299B" w:rsidP="00CA299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A299B" w:rsidRPr="001E6BEB" w:rsidRDefault="00CA299B" w:rsidP="00CA299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A299B" w:rsidRPr="001E6BEB" w:rsidRDefault="00CA299B" w:rsidP="00CA299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A299B" w:rsidRPr="001E6BEB" w:rsidRDefault="00CA299B" w:rsidP="00CA299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CA299B" w:rsidRPr="001E6BEB" w:rsidRDefault="00CA299B" w:rsidP="00CA299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CA299B" w:rsidRPr="001E6BEB" w:rsidRDefault="00CA299B" w:rsidP="00CA299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Theme="minorHAnsi" w:cs="Arial"/>
          <w:szCs w:val="24"/>
          <w:lang w:eastAsia="en-US" w:bidi="es-ES"/>
        </w:rPr>
        <w:t>MSI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CA299B" w:rsidRPr="001E6BEB" w:rsidRDefault="00CA299B" w:rsidP="00CA299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CA299B" w:rsidRPr="001E6BEB" w:rsidRDefault="00CA299B" w:rsidP="00CA299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CA299B" w:rsidRPr="001E6BEB" w:rsidRDefault="00CA299B" w:rsidP="00CA299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A299B" w:rsidRPr="001E6BEB" w:rsidRDefault="00CA299B" w:rsidP="00CA299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A299B" w:rsidRPr="001E6BEB" w:rsidRDefault="00CA299B" w:rsidP="00CA299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A299B" w:rsidRPr="001E6BEB" w:rsidRDefault="00CA299B" w:rsidP="00CA299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CA299B" w:rsidRPr="001E6BEB" w:rsidRDefault="00CA299B" w:rsidP="00CA299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</w:t>
      </w:r>
      <w:r>
        <w:rPr>
          <w:rFonts w:eastAsia="Times New Roman" w:cs="Arial"/>
          <w:bCs/>
          <w:szCs w:val="36"/>
        </w:rPr>
        <w:t xml:space="preserve">la cuantía de las </w:t>
      </w:r>
      <w:r w:rsidRPr="001E6BEB">
        <w:rPr>
          <w:rFonts w:eastAsia="Times New Roman" w:cs="Arial"/>
          <w:bCs/>
          <w:szCs w:val="36"/>
        </w:rPr>
        <w:t>subvenciones y ayudas públicas percibidas.</w:t>
      </w:r>
    </w:p>
    <w:p w:rsidR="00CA299B" w:rsidRPr="001E6BEB" w:rsidRDefault="00CA299B" w:rsidP="00CA299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CA299B" w:rsidRPr="001E6BEB" w:rsidRDefault="00CA299B" w:rsidP="00CA299B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CA299B" w:rsidRPr="001E6BEB" w:rsidRDefault="00CA299B" w:rsidP="00CA299B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CA299B" w:rsidRPr="001E6BEB" w:rsidRDefault="00CA299B" w:rsidP="00CA299B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CA299B" w:rsidRPr="001E6BEB" w:rsidRDefault="00CA299B" w:rsidP="00CA299B">
      <w:pPr>
        <w:rPr>
          <w:rFonts w:cs="Arial"/>
          <w:bCs/>
        </w:rPr>
      </w:pPr>
    </w:p>
    <w:p w:rsidR="00CA299B" w:rsidRPr="001E6BEB" w:rsidRDefault="00CA299B" w:rsidP="00CA299B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CA299B" w:rsidRPr="001E6BEB" w:rsidRDefault="00CA299B" w:rsidP="00CA299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A299B" w:rsidRPr="001E6BEB" w:rsidRDefault="00CA299B" w:rsidP="00CA299B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A299B" w:rsidRPr="001E6BEB" w:rsidRDefault="00CA299B" w:rsidP="00CA299B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A299B" w:rsidRPr="001E6BEB" w:rsidRDefault="00CA299B" w:rsidP="00CA299B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A299B" w:rsidRPr="001E6BEB" w:rsidRDefault="00CA299B" w:rsidP="00CA299B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A299B" w:rsidRPr="001E6BEB" w:rsidRDefault="00CA299B" w:rsidP="00CA299B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062779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4125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41257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41257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41257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41257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41257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41257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41257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41257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41257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41257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41257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41257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41257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41257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41257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41257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41257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41257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41257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1257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41257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41257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4125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41257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41257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41257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DE" w:rsidRDefault="005252DE" w:rsidP="00932008">
      <w:pPr>
        <w:spacing w:after="0" w:line="240" w:lineRule="auto"/>
      </w:pPr>
      <w:r>
        <w:separator/>
      </w:r>
    </w:p>
  </w:endnote>
  <w:endnote w:type="continuationSeparator" w:id="0">
    <w:p w:rsidR="005252DE" w:rsidRDefault="005252D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E" w:rsidRDefault="005252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E" w:rsidRDefault="005252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E" w:rsidRDefault="005252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DE" w:rsidRDefault="005252DE" w:rsidP="00932008">
      <w:pPr>
        <w:spacing w:after="0" w:line="240" w:lineRule="auto"/>
      </w:pPr>
      <w:r>
        <w:separator/>
      </w:r>
    </w:p>
  </w:footnote>
  <w:footnote w:type="continuationSeparator" w:id="0">
    <w:p w:rsidR="005252DE" w:rsidRDefault="005252DE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E" w:rsidRDefault="005252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E" w:rsidRDefault="005252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E" w:rsidRDefault="005252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7DDE"/>
    <w:multiLevelType w:val="hybridMultilevel"/>
    <w:tmpl w:val="217CDC4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2779"/>
    <w:rsid w:val="0006666A"/>
    <w:rsid w:val="000965B3"/>
    <w:rsid w:val="0009764C"/>
    <w:rsid w:val="000B60C1"/>
    <w:rsid w:val="000C6CFF"/>
    <w:rsid w:val="000E178E"/>
    <w:rsid w:val="000E57E7"/>
    <w:rsid w:val="00102733"/>
    <w:rsid w:val="00121C30"/>
    <w:rsid w:val="001561A4"/>
    <w:rsid w:val="001B614A"/>
    <w:rsid w:val="002513DC"/>
    <w:rsid w:val="00265501"/>
    <w:rsid w:val="002A154B"/>
    <w:rsid w:val="002A3BD9"/>
    <w:rsid w:val="00316B14"/>
    <w:rsid w:val="00393BF1"/>
    <w:rsid w:val="00396CC7"/>
    <w:rsid w:val="003C2B4F"/>
    <w:rsid w:val="003F271E"/>
    <w:rsid w:val="003F572A"/>
    <w:rsid w:val="00412571"/>
    <w:rsid w:val="004E250B"/>
    <w:rsid w:val="004F2655"/>
    <w:rsid w:val="00521DA9"/>
    <w:rsid w:val="005252DE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43911"/>
    <w:rsid w:val="00844FA9"/>
    <w:rsid w:val="008C1611"/>
    <w:rsid w:val="008C1E1E"/>
    <w:rsid w:val="008F6192"/>
    <w:rsid w:val="00925ED4"/>
    <w:rsid w:val="00932008"/>
    <w:rsid w:val="009609E9"/>
    <w:rsid w:val="009C235B"/>
    <w:rsid w:val="009D3DAB"/>
    <w:rsid w:val="009E1D68"/>
    <w:rsid w:val="00A8146B"/>
    <w:rsid w:val="00AA131A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A299B"/>
    <w:rsid w:val="00CB5511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5B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A2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5B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A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911C93"/>
    <w:rsid w:val="00BF2C04"/>
    <w:rsid w:val="00D35513"/>
    <w:rsid w:val="00D56B8E"/>
    <w:rsid w:val="00DB51FE"/>
    <w:rsid w:val="00DC084A"/>
    <w:rsid w:val="00E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FC377-52B4-48F1-BF50-582531E1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</TotalTime>
  <Pages>9</Pages>
  <Words>1782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8</cp:revision>
  <cp:lastPrinted>2007-10-26T10:03:00Z</cp:lastPrinted>
  <dcterms:created xsi:type="dcterms:W3CDTF">2021-11-17T10:04:00Z</dcterms:created>
  <dcterms:modified xsi:type="dcterms:W3CDTF">2022-01-12T10:36:00Z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