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23EDB" w:rsidRPr="00006957" w:rsidRDefault="00123ED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23EDB" w:rsidRPr="00006957" w:rsidRDefault="00123ED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3EDB" w:rsidRDefault="00123ED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23EDB" w:rsidRDefault="00123ED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10DDD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MONDRAGON SISTEMAS DE INFORMACION, S.COOP.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0217F2" w:rsidP="001E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513DC">
              <w:rPr>
                <w:sz w:val="24"/>
                <w:szCs w:val="24"/>
              </w:rPr>
              <w:t xml:space="preserve"> de </w:t>
            </w:r>
            <w:r w:rsidR="001E6BEB">
              <w:rPr>
                <w:sz w:val="24"/>
                <w:szCs w:val="24"/>
              </w:rPr>
              <w:t>octubre</w:t>
            </w:r>
            <w:r w:rsidR="002513DC">
              <w:rPr>
                <w:sz w:val="24"/>
                <w:szCs w:val="24"/>
              </w:rPr>
              <w:t xml:space="preserve">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81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810DDD">
              <w:rPr>
                <w:sz w:val="24"/>
                <w:szCs w:val="24"/>
              </w:rPr>
              <w:t>ttps://msigrupo.com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123EDB">
        <w:tc>
          <w:tcPr>
            <w:tcW w:w="1760" w:type="dxa"/>
            <w:shd w:val="clear" w:color="auto" w:fill="4D7F52"/>
          </w:tcPr>
          <w:p w:rsidR="00C43711" w:rsidRPr="00F14DA4" w:rsidRDefault="00C43711" w:rsidP="00123ED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123ED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123ED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123EDB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123EDB">
        <w:tc>
          <w:tcPr>
            <w:tcW w:w="1760" w:type="dxa"/>
          </w:tcPr>
          <w:p w:rsidR="002A3BD9" w:rsidRDefault="002A3BD9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123E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123EDB">
        <w:tc>
          <w:tcPr>
            <w:tcW w:w="1760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12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123EDB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23EDB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23EDB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DF3C8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123EDB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MSI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1B41E6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13DC">
            <w:pPr>
              <w:spacing w:before="800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123EDB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1B41E6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1B41E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23EDB" w:rsidP="002513DC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 w:rsidRPr="00123EDB">
              <w:rPr>
                <w:rFonts w:eastAsiaTheme="majorEastAsia" w:cstheme="majorBidi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2513DC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F5E6D" w:rsidRDefault="00E34195" w:rsidP="001F5E6D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23EDB" w:rsidRPr="00CB5511" w:rsidTr="00123ED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23EDB" w:rsidRPr="00E34195" w:rsidRDefault="00123EDB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23EDB" w:rsidRDefault="00123EDB" w:rsidP="00123EDB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23EDB" w:rsidRPr="00CB5511" w:rsidTr="00123ED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E34195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23EDB" w:rsidRDefault="00123EDB" w:rsidP="00123EDB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23EDB" w:rsidRPr="00CB5511" w:rsidTr="00123ED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E34195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23EDB" w:rsidRDefault="00123EDB" w:rsidP="00123EDB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23EDB" w:rsidRPr="00CB5511" w:rsidTr="00123ED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E34195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3EDB" w:rsidRPr="00CB5511" w:rsidRDefault="00123EDB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23EDB" w:rsidRDefault="00123EDB" w:rsidP="00123EDB"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DB" w:rsidRDefault="00123ED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23EDB" w:rsidRPr="00123EDB" w:rsidRDefault="00123EDB" w:rsidP="00123ED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123EDB" w:rsidRPr="00123EDB" w:rsidRDefault="00123EDB" w:rsidP="00123ED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123EDB" w:rsidRPr="00123EDB" w:rsidRDefault="00123EDB" w:rsidP="00123ED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123EDB" w:rsidRDefault="00123EDB" w:rsidP="00123ED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1E6BEB" w:rsidRPr="00123EDB" w:rsidRDefault="001E6BEB" w:rsidP="00123ED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identifica a sus máximos responsables</w:t>
                            </w:r>
                          </w:p>
                          <w:p w:rsidR="00123EDB" w:rsidRPr="00123EDB" w:rsidRDefault="00123EDB" w:rsidP="00123ED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123EDB" w:rsidRPr="00123EDB" w:rsidRDefault="00123EDB" w:rsidP="00123EDB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3EDB" w:rsidRPr="00123EDB" w:rsidRDefault="00123EDB" w:rsidP="00123ED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23EDB" w:rsidRPr="001E6BEB" w:rsidRDefault="00123EDB" w:rsidP="001E6BEB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23EDB" w:rsidRDefault="00123ED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23EDB" w:rsidRPr="00123EDB" w:rsidRDefault="00123EDB" w:rsidP="00123ED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123EDB" w:rsidRPr="00123EDB" w:rsidRDefault="00123EDB" w:rsidP="00123ED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123EDB" w:rsidRPr="00123EDB" w:rsidRDefault="00123EDB" w:rsidP="00123ED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123EDB" w:rsidRDefault="00123EDB" w:rsidP="00123ED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1E6BEB" w:rsidRPr="00123EDB" w:rsidRDefault="001E6BEB" w:rsidP="00123ED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identifica a sus máximos responsables</w:t>
                      </w:r>
                    </w:p>
                    <w:p w:rsidR="00123EDB" w:rsidRPr="00123EDB" w:rsidRDefault="00123EDB" w:rsidP="00123ED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123EDB" w:rsidRPr="00123EDB" w:rsidRDefault="00123EDB" w:rsidP="00123EDB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23EDB" w:rsidRPr="00123EDB" w:rsidRDefault="00123EDB" w:rsidP="00123EDB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23EDB" w:rsidRPr="001E6BEB" w:rsidRDefault="00123EDB" w:rsidP="001E6BEB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E9164C" w:rsidRPr="00E34195" w:rsidTr="001B41E6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E9164C" w:rsidRPr="00E34195" w:rsidRDefault="00E9164C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9164C" w:rsidRPr="00E34195" w:rsidRDefault="00E9164C" w:rsidP="001B41E6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9164C" w:rsidRPr="00E34195" w:rsidRDefault="00E9164C" w:rsidP="00123EDB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9164C" w:rsidRPr="00E34195" w:rsidRDefault="00E9164C" w:rsidP="001B41E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1E6BEB" w:rsidRPr="00CB5511" w:rsidTr="001E6BE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Pr="00E34195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1E6BEB" w:rsidRPr="00E34195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Pr="00E34195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149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E6BEB" w:rsidRPr="00CB5511" w:rsidTr="001E6BE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E6BEB" w:rsidRDefault="001E6BEB" w:rsidP="00123ED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Default="001E6BEB" w:rsidP="00123EDB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E6BEB" w:rsidRPr="00CB5511" w:rsidRDefault="001E6BEB" w:rsidP="00123E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E6BEB" w:rsidRDefault="001E6BEB" w:rsidP="001E6BEB">
            <w:r w:rsidRPr="00ED2E6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DB" w:rsidRDefault="00123ED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23EDB" w:rsidRPr="001E6BEB" w:rsidRDefault="001E6BEB" w:rsidP="00BD4582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123EDB" w:rsidRPr="00BD4582" w:rsidRDefault="00123EDB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23EDB" w:rsidRDefault="00123EDB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23EDB" w:rsidRDefault="00123EDB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23EDB" w:rsidRPr="001E6BEB" w:rsidRDefault="001E6BEB" w:rsidP="00BD4582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123EDB" w:rsidRPr="00BD4582" w:rsidRDefault="00123EDB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23EDB" w:rsidRDefault="00123EDB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23EDB" w:rsidRPr="00FD0689" w:rsidTr="0012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23EDB" w:rsidRPr="00FD0689" w:rsidRDefault="00123ED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16,7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38D">
              <w:t>14,3</w:t>
            </w:r>
          </w:p>
        </w:tc>
      </w:tr>
      <w:tr w:rsidR="00123EDB" w:rsidRPr="00FD0689" w:rsidTr="00123ED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23EDB" w:rsidRPr="00FD0689" w:rsidRDefault="00123ED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  <w:tc>
          <w:tcPr>
            <w:tcW w:w="0" w:type="auto"/>
            <w:noWrap/>
            <w:vAlign w:val="center"/>
          </w:tcPr>
          <w:p w:rsidR="00123EDB" w:rsidRPr="00A1238D" w:rsidRDefault="00123EDB" w:rsidP="00123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38D">
              <w:t>0,0</w:t>
            </w:r>
          </w:p>
        </w:tc>
      </w:tr>
      <w:tr w:rsidR="00123EDB" w:rsidRPr="00A94BCA" w:rsidTr="0012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23EDB" w:rsidRPr="002A154B" w:rsidRDefault="00123ED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23EDB" w:rsidRPr="00123EDB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23EDB" w:rsidRPr="00123EDB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23EDB" w:rsidRPr="00123EDB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23EDB" w:rsidRPr="00123EDB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23EDB" w:rsidRPr="00123EDB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23EDB" w:rsidRPr="00123EDB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123EDB" w:rsidRPr="00123EDB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23EDB" w:rsidRPr="00123EDB" w:rsidRDefault="00123EDB" w:rsidP="00123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23EDB">
              <w:rPr>
                <w:b/>
                <w:i/>
              </w:rPr>
              <w:t>6,1</w:t>
            </w:r>
          </w:p>
        </w:tc>
      </w:tr>
    </w:tbl>
    <w:p w:rsidR="001E6BEB" w:rsidRDefault="001E6BEB" w:rsidP="001E6BEB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1E6BEB" w:rsidRPr="001E6BEB" w:rsidRDefault="001E6BEB" w:rsidP="001E6BEB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6,1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7,1</w:t>
      </w:r>
      <w:r w:rsidRPr="001E6BEB">
        <w:rPr>
          <w:color w:val="000000"/>
          <w:szCs w:val="24"/>
        </w:rPr>
        <w:t>% de ellos, situación que se da en relación con la práctica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DB" w:rsidRDefault="00123ED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23EDB" w:rsidRPr="002A154B" w:rsidRDefault="001E6BE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MSI</w:t>
                            </w:r>
                            <w:r w:rsidRPr="001E6BEB">
                              <w:rPr>
                                <w:rFonts w:eastAsia="Times New Roman" w:cs="Times New Roman"/>
                              </w:rPr>
                              <w:t xml:space="preserve"> no publica informaciones adicionales a las obligatorias que pueden considerarse relevantes desde el punto de vista de la Transparencia de la organización.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123EDB" w:rsidRDefault="00123ED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23EDB" w:rsidRPr="002A154B" w:rsidRDefault="001E6BE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MSI</w:t>
                      </w:r>
                      <w:r w:rsidRPr="001E6BEB">
                        <w:rPr>
                          <w:rFonts w:eastAsia="Times New Roman" w:cs="Times New Roman"/>
                        </w:rPr>
                        <w:t xml:space="preserve"> no publica informaciones adicionales a las obligatorias que pueden considerarse relevantes desde el punto de vista de la Transparencia de la organización.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133350</wp:posOffset>
                </wp:positionH>
                <wp:positionV relativeFrom="paragraph">
                  <wp:posOffset>274320</wp:posOffset>
                </wp:positionV>
                <wp:extent cx="6264910" cy="10572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DB" w:rsidRDefault="00123ED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23EDB" w:rsidRDefault="001E6BE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MSI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  <w:p w:rsidR="00123EDB" w:rsidRDefault="00123ED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123EDB" w:rsidRPr="002A154B" w:rsidRDefault="00123ED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21.6pt;width:493.3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">
                <v:textbox>
                  <w:txbxContent>
                    <w:p w:rsidR="00123EDB" w:rsidRDefault="00123ED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23EDB" w:rsidRDefault="001E6BEB" w:rsidP="002A154B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>
                        <w:rPr>
                          <w:rFonts w:eastAsia="Times New Roman" w:cs="Times New Roman"/>
                        </w:rPr>
                        <w:t xml:space="preserve">MSI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 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  <w:p w:rsidR="00123EDB" w:rsidRDefault="00123EDB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123EDB" w:rsidRPr="002A154B" w:rsidRDefault="00123EDB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1E6BEB" w:rsidRPr="001E6BEB" w:rsidRDefault="001E6BEB" w:rsidP="001E6BEB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MSI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6,1</w:t>
      </w:r>
      <w:r w:rsidRPr="001E6BEB">
        <w:rPr>
          <w:rFonts w:eastAsia="Times New Roman" w:cs="Arial"/>
        </w:rPr>
        <w:t xml:space="preserve">%. </w:t>
      </w:r>
    </w:p>
    <w:p w:rsidR="001E6BEB" w:rsidRPr="001E6BEB" w:rsidRDefault="001E6BEB" w:rsidP="001E6BEB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MSI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1E6BEB" w:rsidRPr="001E6BEB" w:rsidRDefault="001E6BEB" w:rsidP="001E6BE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1E6BEB" w:rsidRPr="001E6BEB" w:rsidRDefault="001E6BEB" w:rsidP="001E6BEB">
      <w:pPr>
        <w:spacing w:before="120" w:after="120" w:line="312" w:lineRule="auto"/>
        <w:jc w:val="both"/>
      </w:pPr>
      <w:r>
        <w:rPr>
          <w:rFonts w:cs="Calibri"/>
          <w:color w:val="000000"/>
        </w:rPr>
        <w:t>MSI</w:t>
      </w:r>
      <w:r w:rsidRPr="001E6BEB">
        <w:rPr>
          <w:rFonts w:cs="Calibri"/>
          <w:color w:val="000000"/>
        </w:rPr>
        <w:t xml:space="preserve"> </w:t>
      </w:r>
      <w:r w:rsidRPr="001E6BEB">
        <w:t>debería habilitar un Portal de Transparencia que se recomienda se estructure conforme al patrón que establece la LTAIBG: Información Institucional y Organizativa;  e Información Económica y Presupuestaria.</w:t>
      </w:r>
    </w:p>
    <w:p w:rsidR="001E6BEB" w:rsidRPr="001E6BEB" w:rsidRDefault="001E6BEB" w:rsidP="001E6BEB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1E6BEB" w:rsidRPr="001E6BEB" w:rsidRDefault="001E6BEB" w:rsidP="001E6BEB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1E6BEB" w:rsidRDefault="001E6BEB" w:rsidP="001E6BE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1E6BEB" w:rsidRPr="001E6BEB" w:rsidRDefault="001E6BEB" w:rsidP="001E6BE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1E6BEB" w:rsidRPr="001E6BEB" w:rsidRDefault="001E6BEB" w:rsidP="001E6BE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Theme="minorHAnsi" w:cs="Arial"/>
          <w:szCs w:val="24"/>
          <w:lang w:eastAsia="en-US" w:bidi="es-ES"/>
        </w:rPr>
        <w:t>MSI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1E6BEB" w:rsidRPr="001E6BEB" w:rsidRDefault="001E6BEB" w:rsidP="001E6BE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identificarse a los máximos responsables</w:t>
      </w:r>
    </w:p>
    <w:p w:rsidR="001E6BEB" w:rsidRPr="001E6BEB" w:rsidRDefault="001E6BEB" w:rsidP="001E6BEB">
      <w:pPr>
        <w:numPr>
          <w:ilvl w:val="0"/>
          <w:numId w:val="7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lastRenderedPageBreak/>
        <w:t xml:space="preserve">Debe publicarse el perfil y trayectoria profesional de sus máximos responsables. </w:t>
      </w: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1E6BEB" w:rsidRPr="001E6BEB" w:rsidRDefault="001E6BEB" w:rsidP="001E6BEB">
      <w:pPr>
        <w:numPr>
          <w:ilvl w:val="0"/>
          <w:numId w:val="8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1E6BEB" w:rsidRPr="001E6BEB" w:rsidRDefault="001E6BEB" w:rsidP="001E6BEB">
      <w:pPr>
        <w:rPr>
          <w:rFonts w:cs="Arial"/>
          <w:bCs/>
        </w:rPr>
      </w:pPr>
    </w:p>
    <w:p w:rsidR="001E6BEB" w:rsidRPr="001E6BEB" w:rsidRDefault="001E6BEB" w:rsidP="001E6BEB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1E6BEB" w:rsidRPr="001E6BEB" w:rsidRDefault="001E6BEB" w:rsidP="001E6BEB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1E6BEB" w:rsidRPr="001E6BEB" w:rsidRDefault="001E6BEB" w:rsidP="001E6BEB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1E6BEB" w:rsidRPr="001E6BEB" w:rsidRDefault="001E6BEB" w:rsidP="001E6BEB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1E6BEB" w:rsidRPr="001E6BEB" w:rsidRDefault="001E6BEB" w:rsidP="001E6BEB">
      <w:pPr>
        <w:numPr>
          <w:ilvl w:val="0"/>
          <w:numId w:val="9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1E6BEB" w:rsidRPr="001E6BEB" w:rsidRDefault="001E6BEB" w:rsidP="001E6BEB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1E6BEB" w:rsidRPr="001E6BEB" w:rsidRDefault="001E6BEB" w:rsidP="001E6BEB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DF3C83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123ED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123ED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123ED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123ED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123ED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123ED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123ED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123ED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123ED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123ED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123ED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123ED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123ED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123ED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123ED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123ED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123ED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123ED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123ED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123ED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123ED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123ED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123ED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123ED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123ED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123ED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123ED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DB" w:rsidRDefault="00123EDB" w:rsidP="00932008">
      <w:pPr>
        <w:spacing w:after="0" w:line="240" w:lineRule="auto"/>
      </w:pPr>
      <w:r>
        <w:separator/>
      </w:r>
    </w:p>
  </w:endnote>
  <w:endnote w:type="continuationSeparator" w:id="0">
    <w:p w:rsidR="00123EDB" w:rsidRDefault="00123ED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DB" w:rsidRDefault="00123EDB" w:rsidP="00932008">
      <w:pPr>
        <w:spacing w:after="0" w:line="240" w:lineRule="auto"/>
      </w:pPr>
      <w:r>
        <w:separator/>
      </w:r>
    </w:p>
  </w:footnote>
  <w:footnote w:type="continuationSeparator" w:id="0">
    <w:p w:rsidR="00123EDB" w:rsidRDefault="00123ED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DB" w:rsidRDefault="00123E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6CFF"/>
    <w:rsid w:val="00102733"/>
    <w:rsid w:val="00121C30"/>
    <w:rsid w:val="00123EDB"/>
    <w:rsid w:val="001561A4"/>
    <w:rsid w:val="001B41E6"/>
    <w:rsid w:val="001B614A"/>
    <w:rsid w:val="001E6BEB"/>
    <w:rsid w:val="001F5E6D"/>
    <w:rsid w:val="002513DC"/>
    <w:rsid w:val="002A154B"/>
    <w:rsid w:val="002A3BD9"/>
    <w:rsid w:val="00316B14"/>
    <w:rsid w:val="0034238A"/>
    <w:rsid w:val="00396CC7"/>
    <w:rsid w:val="003F271E"/>
    <w:rsid w:val="003F572A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43756"/>
    <w:rsid w:val="007B0F99"/>
    <w:rsid w:val="00810DDD"/>
    <w:rsid w:val="00843911"/>
    <w:rsid w:val="00844FA9"/>
    <w:rsid w:val="008C1E1E"/>
    <w:rsid w:val="008F6192"/>
    <w:rsid w:val="00932008"/>
    <w:rsid w:val="009609E9"/>
    <w:rsid w:val="009E1D68"/>
    <w:rsid w:val="00A8146B"/>
    <w:rsid w:val="00AC4F51"/>
    <w:rsid w:val="00AD2022"/>
    <w:rsid w:val="00AD2591"/>
    <w:rsid w:val="00AF6C05"/>
    <w:rsid w:val="00B0673F"/>
    <w:rsid w:val="00B33111"/>
    <w:rsid w:val="00B40246"/>
    <w:rsid w:val="00B755E7"/>
    <w:rsid w:val="00B841AE"/>
    <w:rsid w:val="00BB6799"/>
    <w:rsid w:val="00BD4582"/>
    <w:rsid w:val="00BE6A46"/>
    <w:rsid w:val="00C33A23"/>
    <w:rsid w:val="00C43711"/>
    <w:rsid w:val="00C56F44"/>
    <w:rsid w:val="00C5744D"/>
    <w:rsid w:val="00CB5511"/>
    <w:rsid w:val="00CC2049"/>
    <w:rsid w:val="00D17F0A"/>
    <w:rsid w:val="00D22945"/>
    <w:rsid w:val="00D96F84"/>
    <w:rsid w:val="00DD5439"/>
    <w:rsid w:val="00DD58B3"/>
    <w:rsid w:val="00DF3C83"/>
    <w:rsid w:val="00DF63E7"/>
    <w:rsid w:val="00DF76DC"/>
    <w:rsid w:val="00E062F2"/>
    <w:rsid w:val="00E3088D"/>
    <w:rsid w:val="00E34195"/>
    <w:rsid w:val="00E47613"/>
    <w:rsid w:val="00E6626E"/>
    <w:rsid w:val="00E9164C"/>
    <w:rsid w:val="00EF6DE7"/>
    <w:rsid w:val="00F14DA4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C20CE"/>
    <w:rsid w:val="007849CC"/>
    <w:rsid w:val="008C63AF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428D3-6761-4C5D-9E3D-E263264A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9</Pages>
  <Words>1786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</cp:revision>
  <cp:lastPrinted>2007-10-26T10:03:00Z</cp:lastPrinted>
  <dcterms:created xsi:type="dcterms:W3CDTF">2021-11-16T10:12:00Z</dcterms:created>
  <dcterms:modified xsi:type="dcterms:W3CDTF">2022-01-12T10:32:00Z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