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304800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B4AC0" w:rsidRPr="00006957" w:rsidRDefault="008B4AC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4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MPSER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B4AC0" w:rsidRPr="00006957" w:rsidRDefault="008B4AC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AC0" w:rsidRDefault="008B4AC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B4AC0" w:rsidRDefault="008B4AC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6271A" w:rsidRPr="00CB5511" w:rsidTr="00BB6799">
        <w:tc>
          <w:tcPr>
            <w:tcW w:w="3652" w:type="dxa"/>
          </w:tcPr>
          <w:p w:rsidR="0016271A" w:rsidRPr="00E34195" w:rsidRDefault="0016271A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16271A" w:rsidRPr="00425F45" w:rsidRDefault="0016271A" w:rsidP="008B4AC0">
            <w:r w:rsidRPr="00425F45">
              <w:t>ASOC. PARA LA PROMOCION Y GESTION DE SERVICIOS SOCIALES GENERALES Y ESPECIALIZADOS (PROGESTIÓN)</w:t>
            </w:r>
          </w:p>
        </w:tc>
      </w:tr>
      <w:tr w:rsidR="0016271A" w:rsidRPr="00CB5511" w:rsidTr="00BB6799">
        <w:tc>
          <w:tcPr>
            <w:tcW w:w="3652" w:type="dxa"/>
          </w:tcPr>
          <w:p w:rsidR="0016271A" w:rsidRPr="00E34195" w:rsidRDefault="0016271A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16271A" w:rsidRPr="00425F45" w:rsidRDefault="0016271A" w:rsidP="008B4AC0">
            <w:r w:rsidRPr="00425F45">
              <w:t>4 de octubre de 2021.</w:t>
            </w:r>
          </w:p>
        </w:tc>
      </w:tr>
      <w:tr w:rsidR="0016271A" w:rsidRPr="00CB5511" w:rsidTr="00BB6799">
        <w:tc>
          <w:tcPr>
            <w:tcW w:w="3652" w:type="dxa"/>
          </w:tcPr>
          <w:p w:rsidR="0016271A" w:rsidRPr="00E34195" w:rsidRDefault="0016271A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6271A" w:rsidRDefault="0016271A" w:rsidP="008B4AC0">
            <w:r w:rsidRPr="00425F45">
              <w:t>https://progestion.org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80D2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112CF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8B4AC0" w:rsidP="00112CF1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PROGESTIÓN</w:t>
            </w:r>
            <w:r w:rsidR="001D3AD4">
              <w:rPr>
                <w:sz w:val="20"/>
                <w:szCs w:val="20"/>
              </w:rPr>
              <w:t xml:space="preserve"> cuenta con un Portal de Transparencia localizable a través del acceso </w:t>
            </w:r>
            <w:r w:rsidR="00112CF1">
              <w:rPr>
                <w:sz w:val="20"/>
                <w:szCs w:val="20"/>
              </w:rPr>
              <w:t>ubicado en la parte superior de su página home</w:t>
            </w:r>
            <w:r w:rsidR="00460616">
              <w:rPr>
                <w:sz w:val="20"/>
                <w:szCs w:val="20"/>
              </w:rPr>
              <w:t>. No obstante la única información localizable en este Portal es un documento con la política de calidad de las asociación</w:t>
            </w:r>
            <w:r>
              <w:rPr>
                <w:sz w:val="20"/>
                <w:szCs w:val="20"/>
              </w:rPr>
              <w:t xml:space="preserve"> y las cuentas anuales de los ejercicios 2015 y 2016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3D36C8" w:rsidP="003D36C8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46061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8B4AC0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8B4AC0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71004EBE" wp14:editId="009193E1">
            <wp:extent cx="6629400" cy="307391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4257" cy="307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4FC6F" wp14:editId="37F4F2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C0" w:rsidRDefault="008B4A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B4AC0" w:rsidRPr="00ED29AA" w:rsidRDefault="008B4AC0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8B4AC0" w:rsidRDefault="008B4AC0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Asociación (Estatutos y normas de carácter general que regulan su actividad)</w:t>
                            </w:r>
                          </w:p>
                          <w:p w:rsidR="008B4AC0" w:rsidRDefault="008B4AC0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8B4AC0" w:rsidRDefault="008B4AC0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un organigrama de la asociación</w:t>
                            </w:r>
                          </w:p>
                          <w:p w:rsidR="008B4AC0" w:rsidRPr="002301DB" w:rsidRDefault="008B4AC0" w:rsidP="00BE4A59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B4AC0" w:rsidRDefault="008B4AC0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B4AC0" w:rsidRDefault="008B4AC0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8B4AC0" w:rsidRPr="00BD4582" w:rsidRDefault="008B4AC0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B4AC0" w:rsidRDefault="008B4AC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B4AC0" w:rsidRPr="00ED29AA" w:rsidRDefault="008B4AC0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8B4AC0" w:rsidRDefault="008B4AC0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Asociación (Estatutos y normas de carácter general que regulan su actividad)</w:t>
                      </w:r>
                    </w:p>
                    <w:p w:rsidR="008B4AC0" w:rsidRDefault="008B4AC0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8B4AC0" w:rsidRDefault="008B4AC0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un organigrama de la asociación</w:t>
                      </w:r>
                    </w:p>
                    <w:p w:rsidR="008B4AC0" w:rsidRPr="002301DB" w:rsidRDefault="008B4AC0" w:rsidP="00BE4A59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B4AC0" w:rsidRDefault="008B4AC0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B4AC0" w:rsidRDefault="008B4AC0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8B4AC0" w:rsidRPr="00BD4582" w:rsidRDefault="008B4AC0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8B4AC0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 se identifica a las administraciones que subvencionan las actividades de la asociación no se informa de manera individualizada de cada una de estas ayudas incluyendo la administración que concede la ayuda, su objeto y la cuantía de la subvención</w:t>
            </w: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0F461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4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B23FEC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C815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8B4AC0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Las últimas cuentas publicadas corresponden a 2017. Dado el desfase temporal de esta información no ha sido posible considerar cumplida esta obligación.</w:t>
            </w: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BE4A59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9EAF3" wp14:editId="70B75BF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C0" w:rsidRDefault="008B4AC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B4AC0" w:rsidRPr="00ED29AA" w:rsidRDefault="008B4AC0" w:rsidP="0055361C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PROGESTIÓN no publica ninguno de los contenidos obligatorios 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8B4AC0" w:rsidRDefault="008B4AC0" w:rsidP="00C33A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B4AC0" w:rsidRDefault="008B4AC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B4AC0" w:rsidRPr="00ED29AA" w:rsidRDefault="008B4AC0" w:rsidP="0055361C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PROGESTIÓN no publica ninguno de los contenidos obligatorios 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8B4AC0" w:rsidRDefault="008B4AC0" w:rsidP="00C33A2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34D5F" w:rsidRPr="00FD0689" w:rsidTr="00534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34D5F" w:rsidRPr="00FD0689" w:rsidRDefault="00534D5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50,0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81A">
              <w:t>42,9</w:t>
            </w:r>
          </w:p>
        </w:tc>
      </w:tr>
      <w:tr w:rsidR="00534D5F" w:rsidRPr="00FD0689" w:rsidTr="00534D5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34D5F" w:rsidRPr="00FD0689" w:rsidRDefault="00534D5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01181A" w:rsidRDefault="00534D5F" w:rsidP="0053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81A">
              <w:t>0,0</w:t>
            </w:r>
          </w:p>
        </w:tc>
      </w:tr>
      <w:tr w:rsidR="00534D5F" w:rsidRPr="00A94BCA" w:rsidTr="00534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34D5F" w:rsidRPr="002A154B" w:rsidRDefault="00534D5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34D5F" w:rsidRPr="00534D5F" w:rsidRDefault="00534D5F" w:rsidP="0053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4D5F">
              <w:rPr>
                <w:b/>
                <w:i/>
              </w:rPr>
              <w:t>18,4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534D5F">
        <w:rPr>
          <w:color w:val="000000"/>
          <w:szCs w:val="24"/>
        </w:rPr>
        <w:t>18,4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534D5F">
        <w:rPr>
          <w:color w:val="000000"/>
          <w:szCs w:val="24"/>
        </w:rPr>
        <w:t>21,4</w:t>
      </w:r>
      <w:r w:rsidR="00DC2231">
        <w:rPr>
          <w:color w:val="000000"/>
          <w:szCs w:val="24"/>
        </w:rPr>
        <w:t>% de ellos</w:t>
      </w:r>
      <w:r w:rsidR="003723A7">
        <w:rPr>
          <w:color w:val="000000"/>
          <w:szCs w:val="24"/>
        </w:rPr>
        <w:t xml:space="preserve">, </w:t>
      </w:r>
      <w:r w:rsidR="003723A7" w:rsidRPr="00341D36">
        <w:rPr>
          <w:color w:val="000000"/>
          <w:szCs w:val="24"/>
        </w:rPr>
        <w:t xml:space="preserve">situación que se da en relación con la </w:t>
      </w:r>
      <w:r w:rsidR="003D36C8">
        <w:rPr>
          <w:color w:val="000000"/>
          <w:szCs w:val="24"/>
        </w:rPr>
        <w:t xml:space="preserve">totalidad </w:t>
      </w:r>
      <w:r w:rsidR="003723A7" w:rsidRPr="00341D36">
        <w:rPr>
          <w:color w:val="000000"/>
          <w:szCs w:val="24"/>
        </w:rPr>
        <w:t>de las informaciones del bloque de información económica</w:t>
      </w:r>
      <w:r w:rsidR="00DC2231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118CF" wp14:editId="533188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C0" w:rsidRDefault="008B4A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B4AC0" w:rsidRDefault="008B4A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PROGESTIÓN publica informaciones adicionales a las obligatorias que son relevantes respecto de la transparencia de la organización. Así se publica:</w:t>
                            </w:r>
                          </w:p>
                          <w:p w:rsidR="008B4AC0" w:rsidRDefault="00534D5F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  <w:p w:rsidR="008B4AC0" w:rsidRDefault="008B4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8B4AC0" w:rsidRDefault="008B4AC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B4AC0" w:rsidRDefault="008B4A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PROGESTIÓN publica informaciones adicionales a las obligatorias que son relevantes respecto de la transparencia de la organización. Así se publica:</w:t>
                      </w:r>
                    </w:p>
                    <w:p w:rsidR="008B4AC0" w:rsidRDefault="00534D5F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  <w:p w:rsidR="008B4AC0" w:rsidRDefault="008B4AC0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B23FE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44523" wp14:editId="71ED1AB7">
                <wp:simplePos x="0" y="0"/>
                <wp:positionH relativeFrom="column">
                  <wp:posOffset>132080</wp:posOffset>
                </wp:positionH>
                <wp:positionV relativeFrom="paragraph">
                  <wp:posOffset>180340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C0" w:rsidRDefault="008B4AC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B4AC0" w:rsidRDefault="008B4AC0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PROGESTIÓN que podrían aplicarse por otras organizaciones sujetas a obligaciones de publicidad activa, cabe mencionar:</w:t>
                            </w:r>
                          </w:p>
                          <w:p w:rsidR="008B4AC0" w:rsidRPr="00B95A56" w:rsidRDefault="008B4AC0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23FEC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4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O68qj/eAAAACgEAAA8AAABkcnMvZG93bnJl&#10;di54bWxMj81OwzAQhO9IvIO1SFwqalOaUkKcCir1xKmh3N14SSLidbDdNn17tqdy2p9ZzXxbrEbX&#10;iyOG2HnS8DhVIJBqbztqNOw+Nw9LEDEZsqb3hBrOGGFV3t4UJrf+RFs8VqkRbEIxNxralIZcyli3&#10;6Eyc+gGJtW8fnEk8hkbaYE5s7no5U2ohnemIE1oz4LrF+qc6OA2L3+pp8vFlJ7Q9b95D7TK73mVa&#10;39+Nb68gEo7pegwXfEaHkpn2/kA2il7DTDF54rqcg7joSj1zt+fN/CUDWRby/wvlH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DuvKo/3gAAAAoBAAAPAAAAAAAAAAAAAAAAAIUEAABk&#10;cnMvZG93bnJldi54bWxQSwUGAAAAAAQABADzAAAAkAUAAAAA&#10;">
                <v:textbox style="mso-fit-shape-to-text:t">
                  <w:txbxContent>
                    <w:p w:rsidR="008B4AC0" w:rsidRDefault="008B4AC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B4AC0" w:rsidRDefault="008B4AC0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de PROGESTIÓN que podrían aplicarse por otras organizaciones sujetas a obligaciones de publicidad activa, cabe mencionar:</w:t>
                      </w:r>
                    </w:p>
                    <w:p w:rsidR="008B4AC0" w:rsidRPr="00B95A56" w:rsidRDefault="008B4AC0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23FEC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8B4AC0">
        <w:rPr>
          <w:rFonts w:eastAsia="Times New Roman" w:cs="Times New Roman"/>
        </w:rPr>
        <w:t>PROGESTIÓN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534D5F">
        <w:rPr>
          <w:color w:val="000000"/>
          <w:szCs w:val="24"/>
        </w:rPr>
        <w:t>18,4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8B4AC0">
        <w:rPr>
          <w:rFonts w:eastAsia="Times New Roman" w:cs="Times New Roman"/>
        </w:rPr>
        <w:t>PROGESTIÓN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 la </w:t>
      </w:r>
      <w:r w:rsidR="004E4A11">
        <w:t>asociación</w:t>
      </w:r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 w:rsidR="004E4A11">
        <w:rPr>
          <w:rFonts w:eastAsiaTheme="majorEastAsia" w:cs="Arial"/>
          <w:bCs/>
        </w:rPr>
        <w:t>Cada una de estas informaciones debe publicarse de manera individualizada.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3723A7" w:rsidRPr="00B23FEC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 xml:space="preserve">la </w:t>
      </w:r>
      <w:r w:rsidR="004E4A11">
        <w:rPr>
          <w:rFonts w:eastAsia="Times New Roman" w:cs="Arial"/>
        </w:rPr>
        <w:t>asociación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B23FEC" w:rsidRPr="00BF1400" w:rsidRDefault="00B23FEC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723A7" w:rsidRP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 w:rsidR="00A14322">
        <w:rPr>
          <w:rFonts w:eastAsia="Times New Roman" w:cs="Arial"/>
          <w:bCs/>
          <w:szCs w:val="36"/>
        </w:rPr>
        <w:t xml:space="preserve">información sobre los presupuestos de la </w:t>
      </w:r>
      <w:r w:rsidR="004E4A11">
        <w:rPr>
          <w:rFonts w:eastAsia="Times New Roman" w:cs="Arial"/>
          <w:bCs/>
          <w:szCs w:val="36"/>
        </w:rPr>
        <w:t>asociación.</w:t>
      </w:r>
    </w:p>
    <w:p w:rsidR="00B23FEC" w:rsidRDefault="00B23FEC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Deben publicarse las cuentas anuales</w:t>
      </w:r>
    </w:p>
    <w:p w:rsidR="00B23FEC" w:rsidRDefault="00B23FEC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534D5F">
        <w:rPr>
          <w:rFonts w:eastAsia="Times New Roman" w:cs="Arial"/>
          <w:bCs/>
          <w:szCs w:val="36"/>
        </w:rPr>
        <w:t xml:space="preserve">actualizarse la publicación de  </w:t>
      </w:r>
      <w:r>
        <w:rPr>
          <w:rFonts w:eastAsia="Times New Roman" w:cs="Arial"/>
          <w:bCs/>
          <w:szCs w:val="36"/>
        </w:rPr>
        <w:t>los informes de auditoría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580D23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C0" w:rsidRDefault="008B4AC0" w:rsidP="00932008">
      <w:pPr>
        <w:spacing w:after="0" w:line="240" w:lineRule="auto"/>
      </w:pPr>
      <w:r>
        <w:separator/>
      </w:r>
    </w:p>
  </w:endnote>
  <w:endnote w:type="continuationSeparator" w:id="0">
    <w:p w:rsidR="008B4AC0" w:rsidRDefault="008B4AC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C0" w:rsidRDefault="008B4AC0" w:rsidP="00932008">
      <w:pPr>
        <w:spacing w:after="0" w:line="240" w:lineRule="auto"/>
      </w:pPr>
      <w:r>
        <w:separator/>
      </w:r>
    </w:p>
  </w:footnote>
  <w:footnote w:type="continuationSeparator" w:id="0">
    <w:p w:rsidR="008B4AC0" w:rsidRDefault="008B4AC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C0" w:rsidRDefault="008B4A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0F461D"/>
    <w:rsid w:val="00102733"/>
    <w:rsid w:val="00106FDA"/>
    <w:rsid w:val="00112CF1"/>
    <w:rsid w:val="00121C30"/>
    <w:rsid w:val="00154714"/>
    <w:rsid w:val="001561A4"/>
    <w:rsid w:val="0016271A"/>
    <w:rsid w:val="001B614A"/>
    <w:rsid w:val="001D3AD4"/>
    <w:rsid w:val="00233C98"/>
    <w:rsid w:val="00250AAD"/>
    <w:rsid w:val="002513DC"/>
    <w:rsid w:val="00265501"/>
    <w:rsid w:val="002A154B"/>
    <w:rsid w:val="002A3BD9"/>
    <w:rsid w:val="00316B14"/>
    <w:rsid w:val="00342040"/>
    <w:rsid w:val="003723A7"/>
    <w:rsid w:val="00396CC7"/>
    <w:rsid w:val="003D36C8"/>
    <w:rsid w:val="003F271E"/>
    <w:rsid w:val="003F572A"/>
    <w:rsid w:val="00405EFB"/>
    <w:rsid w:val="00460616"/>
    <w:rsid w:val="004E4A11"/>
    <w:rsid w:val="004F160A"/>
    <w:rsid w:val="004F2655"/>
    <w:rsid w:val="00521DA9"/>
    <w:rsid w:val="00534D5F"/>
    <w:rsid w:val="00544E0C"/>
    <w:rsid w:val="005509B0"/>
    <w:rsid w:val="0055361C"/>
    <w:rsid w:val="0056132B"/>
    <w:rsid w:val="00561402"/>
    <w:rsid w:val="0057532F"/>
    <w:rsid w:val="00580D23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B4AC0"/>
    <w:rsid w:val="008C1E1E"/>
    <w:rsid w:val="008F6192"/>
    <w:rsid w:val="0091181D"/>
    <w:rsid w:val="00932008"/>
    <w:rsid w:val="009609E9"/>
    <w:rsid w:val="009A5971"/>
    <w:rsid w:val="009E1D68"/>
    <w:rsid w:val="00A14322"/>
    <w:rsid w:val="00A8146B"/>
    <w:rsid w:val="00AA145C"/>
    <w:rsid w:val="00AC4F51"/>
    <w:rsid w:val="00AD2022"/>
    <w:rsid w:val="00AD2591"/>
    <w:rsid w:val="00AF6C05"/>
    <w:rsid w:val="00B0673F"/>
    <w:rsid w:val="00B1007E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A62F49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EA388-6D6C-4A09-AA19-64C78C57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</TotalTime>
  <Pages>9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2021-11-22T12:24:00Z</dcterms:created>
  <dcterms:modified xsi:type="dcterms:W3CDTF">2022-01-12T11:30:00Z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